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t>
      </w:r>
      <w:proofErr w:type="gramStart"/>
      <w:r w:rsidRPr="007B0511">
        <w:rPr>
          <w:rFonts w:ascii="Tahoma" w:hAnsi="Tahoma" w:cs="Tahoma"/>
        </w:rPr>
        <w:t>with regard to</w:t>
      </w:r>
      <w:proofErr w:type="gramEnd"/>
      <w:r w:rsidRPr="007B0511">
        <w:rPr>
          <w:rFonts w:ascii="Tahoma" w:hAnsi="Tahoma" w:cs="Tahoma"/>
        </w:rPr>
        <w:t xml:space="preserve">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t>
      </w:r>
      <w:proofErr w:type="gramStart"/>
      <w:r w:rsidRPr="007B0511">
        <w:rPr>
          <w:rFonts w:ascii="Tahoma" w:hAnsi="Tahoma" w:cs="Tahoma"/>
        </w:rPr>
        <w:t>witnesses</w:t>
      </w:r>
      <w:proofErr w:type="gramEnd"/>
      <w:r w:rsidRPr="007B0511">
        <w:rPr>
          <w:rFonts w:ascii="Tahoma" w:hAnsi="Tahoma" w:cs="Tahoma"/>
        </w:rPr>
        <w:t xml:space="preserve">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 xml:space="preserve">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w:t>
      </w:r>
      <w:proofErr w:type="gramStart"/>
      <w:r w:rsidR="002D3A15" w:rsidRPr="007B0511">
        <w:rPr>
          <w:rFonts w:ascii="Tahoma" w:hAnsi="Tahoma" w:cs="Tahoma"/>
        </w:rPr>
        <w:t>as a result of</w:t>
      </w:r>
      <w:proofErr w:type="gramEnd"/>
      <w:r w:rsidR="002D3A15" w:rsidRPr="007B0511">
        <w:rPr>
          <w:rFonts w:ascii="Tahoma" w:hAnsi="Tahoma" w:cs="Tahoma"/>
        </w:rPr>
        <w:t xml:space="preserve">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 xml:space="preserve">All counsel </w:t>
      </w:r>
      <w:proofErr w:type="gramStart"/>
      <w:r w:rsidRPr="005F77E1">
        <w:rPr>
          <w:rFonts w:ascii="Tahoma" w:hAnsi="Tahoma" w:cs="Tahoma"/>
        </w:rPr>
        <w:t>are</w:t>
      </w:r>
      <w:proofErr w:type="gramEnd"/>
      <w:r w:rsidRPr="005F77E1">
        <w:rPr>
          <w:rFonts w:ascii="Tahoma" w:hAnsi="Tahoma" w:cs="Tahoma"/>
        </w:rPr>
        <w:t xml:space="preserv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15964400" w14:textId="6B653B2F" w:rsidR="006516EF" w:rsidRPr="00D04C4A" w:rsidRDefault="000B0832" w:rsidP="00D04C4A">
      <w:pPr>
        <w:numPr>
          <w:ilvl w:val="0"/>
          <w:numId w:val="4"/>
        </w:numPr>
        <w:jc w:val="both"/>
        <w:rPr>
          <w:rFonts w:ascii="Tahoma" w:hAnsi="Tahoma" w:cs="Tahoma"/>
        </w:rPr>
      </w:pPr>
      <w:r w:rsidRPr="00A64531">
        <w:rPr>
          <w:rFonts w:ascii="Tahoma" w:hAnsi="Tahoma" w:cs="Tahoma"/>
          <w:b/>
          <w:u w:val="single"/>
        </w:rPr>
        <w:t>MOTION SETTING</w:t>
      </w:r>
      <w:r w:rsidRPr="00A64531">
        <w:rPr>
          <w:rFonts w:ascii="Tahoma" w:hAnsi="Tahoma" w:cs="Tahoma"/>
          <w:b/>
        </w:rPr>
        <w:t xml:space="preserve">:  </w:t>
      </w:r>
      <w:r w:rsidR="00EF6720" w:rsidRPr="00A64531">
        <w:rPr>
          <w:rFonts w:ascii="Tahoma" w:hAnsi="Tahoma" w:cs="Tahoma"/>
          <w:b/>
        </w:rPr>
        <w:t>Open Motion Calendar</w:t>
      </w:r>
      <w:r w:rsidR="00EF6720" w:rsidRPr="00A64531">
        <w:rPr>
          <w:rFonts w:ascii="Tahoma" w:hAnsi="Tahoma" w:cs="Tahoma"/>
        </w:rPr>
        <w:t xml:space="preserve">:  </w:t>
      </w:r>
      <w:r w:rsidR="00A64531" w:rsidRPr="00A64531">
        <w:rPr>
          <w:rFonts w:ascii="Tahoma" w:hAnsi="Tahoma" w:cs="Tahoma"/>
        </w:rPr>
        <w:t xml:space="preserve">Motions of 30 minutes or less may be scheduled on the court's Open Motion calendar by contacting Jason Smith at </w:t>
      </w:r>
      <w:hyperlink r:id="rId9" w:history="1">
        <w:r w:rsidR="00A64531" w:rsidRPr="00A64531">
          <w:rPr>
            <w:rStyle w:val="Hyperlink"/>
            <w:rFonts w:ascii="Tahoma" w:hAnsi="Tahoma" w:cs="Tahoma"/>
          </w:rPr>
          <w:t>Jason.Smith@keyscourts.net</w:t>
        </w:r>
      </w:hyperlink>
      <w:r w:rsidR="00A64531" w:rsidRPr="00A64531">
        <w:rPr>
          <w:rFonts w:ascii="Tahoma" w:hAnsi="Tahoma" w:cs="Tahoma"/>
        </w:rPr>
        <w:t xml:space="preserve">. Motions </w:t>
      </w:r>
      <w:proofErr w:type="gramStart"/>
      <w:r w:rsidR="00A64531" w:rsidRPr="00A64531">
        <w:rPr>
          <w:rFonts w:ascii="Tahoma" w:hAnsi="Tahoma" w:cs="Tahoma"/>
        </w:rPr>
        <w:t>in excess of</w:t>
      </w:r>
      <w:proofErr w:type="gramEnd"/>
      <w:r w:rsidR="00A64531" w:rsidRPr="00A64531">
        <w:rPr>
          <w:rFonts w:ascii="Tahoma" w:hAnsi="Tahoma" w:cs="Tahoma"/>
        </w:rPr>
        <w:t xml:space="preserve"> 30 minutes and a</w:t>
      </w:r>
      <w:r w:rsidR="005B6F12">
        <w:rPr>
          <w:rFonts w:ascii="Tahoma" w:hAnsi="Tahoma" w:cs="Tahoma"/>
        </w:rPr>
        <w:t>l</w:t>
      </w:r>
      <w:r w:rsidR="00A64531" w:rsidRPr="00A64531">
        <w:rPr>
          <w:rFonts w:ascii="Tahoma" w:hAnsi="Tahoma" w:cs="Tahoma"/>
        </w:rPr>
        <w:t>l evidentiary motions may be specially set by calling Judicial Assistant, Laurel Bogoeff, at (305) 292-3433. No evidentiary motions are permitted on the open motion calendar.</w:t>
      </w:r>
    </w:p>
    <w:p w14:paraId="3859F876" w14:textId="77777777" w:rsidR="006516EF" w:rsidRPr="00D04C4A" w:rsidRDefault="006516EF" w:rsidP="006516EF">
      <w:pPr>
        <w:ind w:left="1080"/>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77777777"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w:t>
      </w:r>
      <w:r w:rsidR="009011B5" w:rsidRPr="007B0511">
        <w:rPr>
          <w:rFonts w:ascii="Tahoma" w:hAnsi="Tahoma" w:cs="Tahoma"/>
        </w:rPr>
        <w:t>T</w:t>
      </w:r>
      <w:r w:rsidR="00503625" w:rsidRPr="007B0511">
        <w:rPr>
          <w:rFonts w:ascii="Tahoma" w:hAnsi="Tahoma" w:cs="Tahoma"/>
        </w:rPr>
        <w:t xml:space="preserve">he lawyer setting </w:t>
      </w:r>
      <w:r w:rsidR="009011B5" w:rsidRPr="007B0511">
        <w:rPr>
          <w:rFonts w:ascii="Tahoma" w:hAnsi="Tahoma" w:cs="Tahoma"/>
        </w:rPr>
        <w:t xml:space="preserve">the </w:t>
      </w:r>
      <w:r w:rsidR="00503625" w:rsidRPr="007B0511">
        <w:rPr>
          <w:rFonts w:ascii="Tahoma" w:hAnsi="Tahoma" w:cs="Tahoma"/>
        </w:rPr>
        <w:t xml:space="preserve">hearing has the responsibility to determine if any other lawyer wishes to appear telephonically, and if so, the matter may </w:t>
      </w:r>
      <w:r w:rsidR="00503625" w:rsidRPr="007B0511">
        <w:rPr>
          <w:rFonts w:ascii="Tahoma" w:hAnsi="Tahoma" w:cs="Tahoma"/>
          <w:u w:val="single"/>
        </w:rPr>
        <w:t>only</w:t>
      </w:r>
      <w:r w:rsidR="00503625" w:rsidRPr="007B0511">
        <w:rPr>
          <w:rFonts w:ascii="Tahoma" w:hAnsi="Tahoma" w:cs="Tahoma"/>
        </w:rPr>
        <w:t xml:space="preserve"> be set on the afternoon telephonic docket.  </w:t>
      </w:r>
      <w:r w:rsidR="009B4839" w:rsidRPr="007B0511">
        <w:rPr>
          <w:rFonts w:ascii="Tahoma" w:hAnsi="Tahoma" w:cs="Tahoma"/>
        </w:rPr>
        <w:t xml:space="preserve">If counsel </w:t>
      </w:r>
      <w:proofErr w:type="gramStart"/>
      <w:r w:rsidR="009B4839" w:rsidRPr="007B0511">
        <w:rPr>
          <w:rFonts w:ascii="Tahoma" w:hAnsi="Tahoma" w:cs="Tahoma"/>
        </w:rPr>
        <w:t>are</w:t>
      </w:r>
      <w:proofErr w:type="gramEnd"/>
      <w:r w:rsidR="009B4839" w:rsidRPr="007B0511">
        <w:rPr>
          <w:rFonts w:ascii="Tahoma" w:hAnsi="Tahoma" w:cs="Tahoma"/>
        </w:rPr>
        <w:t xml:space="preserve"> unable to agree on dates or times </w:t>
      </w:r>
      <w:r w:rsidR="009B4839" w:rsidRPr="007B0511">
        <w:rPr>
          <w:rFonts w:ascii="Tahoma" w:hAnsi="Tahoma" w:cs="Tahoma"/>
        </w:rPr>
        <w:lastRenderedPageBreak/>
        <w:t>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 and no telephonic appearance</w:t>
      </w:r>
      <w:r w:rsidR="006D4453" w:rsidRPr="007B0511">
        <w:rPr>
          <w:rFonts w:ascii="Tahoma" w:hAnsi="Tahoma" w:cs="Tahoma"/>
        </w:rPr>
        <w:t xml:space="preserve"> will be permitted, absent leave of Court.</w:t>
      </w:r>
      <w:r w:rsidR="009B4839" w:rsidRPr="007B0511">
        <w:rPr>
          <w:rFonts w:ascii="Tahoma" w:hAnsi="Tahoma" w:cs="Tahoma"/>
        </w:rPr>
        <w:t xml:space="preserve">  </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w:t>
      </w:r>
      <w:proofErr w:type="gramStart"/>
      <w:r w:rsidR="002235D7" w:rsidRPr="007B0511">
        <w:rPr>
          <w:rFonts w:ascii="Tahoma" w:hAnsi="Tahoma" w:cs="Tahoma"/>
        </w:rPr>
        <w:t>limb</w:t>
      </w:r>
      <w:proofErr w:type="gramEnd"/>
      <w:r w:rsidR="002235D7" w:rsidRPr="007B0511">
        <w:rPr>
          <w:rFonts w:ascii="Tahoma" w:hAnsi="Tahoma" w:cs="Tahoma"/>
        </w:rPr>
        <w:t xml:space="preserve">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 xml:space="preserve">emergencies.  Scheduling conflicts between counsel, last minute attempts to modify deadlines, and similar issues are not “emergencies” and may not be styled as such to obtain expedited relief from the Court.  Counsel </w:t>
      </w:r>
      <w:proofErr w:type="gramStart"/>
      <w:r w:rsidR="002235D7" w:rsidRPr="007B0511">
        <w:rPr>
          <w:rFonts w:ascii="Tahoma" w:hAnsi="Tahoma" w:cs="Tahoma"/>
        </w:rPr>
        <w:t>are</w:t>
      </w:r>
      <w:proofErr w:type="gramEnd"/>
      <w:r w:rsidR="002235D7" w:rsidRPr="007B0511">
        <w:rPr>
          <w:rFonts w:ascii="Tahoma" w:hAnsi="Tahoma" w:cs="Tahoma"/>
        </w:rPr>
        <w:t xml:space="preserv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Fl.R.Civ.Pro.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 xml:space="preserve">Counsel </w:t>
      </w:r>
      <w:proofErr w:type="gramStart"/>
      <w:r w:rsidR="00160944" w:rsidRPr="00317187">
        <w:rPr>
          <w:rFonts w:ascii="Tahoma" w:hAnsi="Tahoma" w:cs="Tahoma"/>
        </w:rPr>
        <w:t>are</w:t>
      </w:r>
      <w:proofErr w:type="gramEnd"/>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Deadlines.</w:t>
      </w:r>
      <w:r w:rsidR="00C55D51" w:rsidRPr="00317187">
        <w:rPr>
          <w:rFonts w:ascii="Tahoma" w:hAnsi="Tahoma" w:cs="Tahoma"/>
        </w:rPr>
        <w:t xml:space="preserve">  Counsel </w:t>
      </w:r>
      <w:proofErr w:type="gramStart"/>
      <w:r w:rsidR="00C55D51" w:rsidRPr="00317187">
        <w:rPr>
          <w:rFonts w:ascii="Tahoma" w:hAnsi="Tahoma" w:cs="Tahoma"/>
        </w:rPr>
        <w:t>are</w:t>
      </w:r>
      <w:proofErr w:type="gramEnd"/>
      <w:r w:rsidR="00C55D51" w:rsidRPr="00317187">
        <w:rPr>
          <w:rFonts w:ascii="Tahoma" w:hAnsi="Tahoma" w:cs="Tahoma"/>
        </w:rPr>
        <w:t xml:space="preserve"> directed to be fu</w:t>
      </w:r>
      <w:r w:rsidRPr="00317187">
        <w:rPr>
          <w:rFonts w:ascii="Tahoma" w:hAnsi="Tahoma" w:cs="Tahoma"/>
        </w:rPr>
        <w:t>lly prepared for trial by this date.</w:t>
      </w:r>
      <w:r w:rsidR="00B415D7" w:rsidRPr="00317187">
        <w:rPr>
          <w:rFonts w:ascii="Tahoma" w:hAnsi="Tahoma" w:cs="Tahoma"/>
        </w:rPr>
        <w:t xml:space="preserve">  Counsel </w:t>
      </w:r>
      <w:r w:rsidR="00B415D7" w:rsidRPr="00317187">
        <w:rPr>
          <w:rFonts w:ascii="Tahoma" w:hAnsi="Tahoma" w:cs="Tahoma"/>
        </w:rPr>
        <w:lastRenderedPageBreak/>
        <w:t xml:space="preserve">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 xml:space="preserve">al estimating the number of </w:t>
      </w:r>
      <w:proofErr w:type="gramStart"/>
      <w:r w:rsidR="0054654B" w:rsidRPr="00317187">
        <w:rPr>
          <w:rFonts w:ascii="Tahoma" w:hAnsi="Tahoma" w:cs="Tahoma"/>
        </w:rPr>
        <w:t>trial</w:t>
      </w:r>
      <w:proofErr w:type="gramEnd"/>
      <w:r w:rsidR="0054654B" w:rsidRPr="00317187">
        <w:rPr>
          <w:rFonts w:ascii="Tahoma" w:hAnsi="Tahoma" w:cs="Tahoma"/>
        </w:rPr>
        <w:t xml:space="preserve">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w:t>
      </w:r>
      <w:proofErr w:type="gramStart"/>
      <w:r w:rsidRPr="000C016B">
        <w:rPr>
          <w:rFonts w:ascii="Tahoma" w:hAnsi="Tahoma" w:cs="Tahoma"/>
        </w:rPr>
        <w:t>are</w:t>
      </w:r>
      <w:proofErr w:type="gramEnd"/>
      <w:r w:rsidRPr="000C016B">
        <w:rPr>
          <w:rFonts w:ascii="Tahoma" w:hAnsi="Tahoma" w:cs="Tahoma"/>
        </w:rPr>
        <w:t xml:space="preserv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w:t>
      </w:r>
      <w:proofErr w:type="gramStart"/>
      <w:r w:rsidR="00825207" w:rsidRPr="000F1D9D">
        <w:rPr>
          <w:rFonts w:ascii="Tahoma" w:hAnsi="Tahoma" w:cs="Tahoma"/>
        </w:rPr>
        <w:t>or</w:t>
      </w:r>
      <w:r w:rsidR="00B04AC8" w:rsidRPr="000F1D9D">
        <w:rPr>
          <w:rFonts w:ascii="Tahoma" w:hAnsi="Tahoma" w:cs="Tahoma"/>
        </w:rPr>
        <w:t>;</w:t>
      </w:r>
      <w:proofErr w:type="gramEnd"/>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7C3EA09E"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DONE and ORDERED in Chambers at Key West, Monroe County, Florida, this</w:t>
      </w:r>
      <w:r w:rsidR="0071487D" w:rsidRPr="007B0511">
        <w:rPr>
          <w:rFonts w:ascii="Tahoma" w:hAnsi="Tahoma" w:cs="Tahoma"/>
        </w:rPr>
        <w:t xml:space="preserve"> </w:t>
      </w:r>
      <w:r w:rsidR="00931D93" w:rsidRPr="007B0511">
        <w:rPr>
          <w:rFonts w:ascii="Tahoma" w:hAnsi="Tahoma" w:cs="Tahoma"/>
        </w:rPr>
        <w:t>_______</w:t>
      </w:r>
      <w:r w:rsidR="00FC6B8F" w:rsidRPr="007B0511">
        <w:rPr>
          <w:rFonts w:ascii="Tahoma" w:hAnsi="Tahoma" w:cs="Tahoma"/>
        </w:rPr>
        <w:t>day of</w:t>
      </w:r>
      <w:r w:rsidR="0094231B">
        <w:rPr>
          <w:rFonts w:ascii="Tahoma" w:hAnsi="Tahoma" w:cs="Tahoma"/>
        </w:rPr>
        <w:t xml:space="preserve"> </w:t>
      </w:r>
      <w:sdt>
        <w:sdtPr>
          <w:rPr>
            <w:rFonts w:ascii="Tahoma" w:hAnsi="Tahoma" w:cs="Tahoma"/>
          </w:rPr>
          <w:id w:val="-1057854929"/>
          <w:placeholder>
            <w:docPart w:val="2CF5B1317AB944A0B6E5AE49C43DA7A6"/>
          </w:placeholder>
          <w:showingPlcHdr/>
          <w15:color w:val="0000FF"/>
          <w:text/>
        </w:sdtPr>
        <w:sdtEndPr/>
        <w:sdtContent>
          <w:r w:rsidR="0094231B" w:rsidRPr="007F503C">
            <w:rPr>
              <w:rStyle w:val="PlaceholderText"/>
              <w:rFonts w:ascii="Tahoma" w:hAnsi="Tahoma" w:cs="Tahoma"/>
              <w:color w:val="FF0000"/>
            </w:rPr>
            <w:t>Click or tap here to enter month</w:t>
          </w:r>
        </w:sdtContent>
      </w:sdt>
      <w:r w:rsidR="00964DEE" w:rsidRPr="007B0511">
        <w:rPr>
          <w:rFonts w:ascii="Tahoma" w:hAnsi="Tahoma" w:cs="Tahoma"/>
        </w:rPr>
        <w:t>, 20</w:t>
      </w:r>
      <w:sdt>
        <w:sdtPr>
          <w:rPr>
            <w:rFonts w:ascii="Tahoma" w:hAnsi="Tahoma" w:cs="Tahoma"/>
          </w:rPr>
          <w:id w:val="1818381138"/>
          <w:placeholder>
            <w:docPart w:val="BE2E7A0BB6B34CD986D9A43492286865"/>
          </w:placeholder>
          <w:showingPlcHdr/>
          <w15:color w:val="0000FF"/>
          <w:text/>
        </w:sdtPr>
        <w:sdtEndPr/>
        <w:sdtContent>
          <w:r w:rsidR="007F503C" w:rsidRPr="007F503C">
            <w:rPr>
              <w:rFonts w:ascii="Tahoma" w:hAnsi="Tahoma" w:cs="Tahoma"/>
              <w:color w:val="FF0000"/>
            </w:rPr>
            <w:t>YY</w:t>
          </w:r>
        </w:sdtContent>
      </w:sdt>
      <w:r w:rsidR="004E16C8">
        <w:rPr>
          <w:rFonts w:ascii="Tahoma" w:hAnsi="Tahoma" w:cs="Tahoma"/>
        </w:rPr>
        <w:t>.</w:t>
      </w:r>
      <w:r w:rsidR="00FC6B8F" w:rsidRPr="007B0511">
        <w:rPr>
          <w:rFonts w:ascii="Tahoma" w:hAnsi="Tahoma" w:cs="Tahoma"/>
        </w:rPr>
        <w:t xml:space="preserve"> </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1308D748" w14:textId="1C726B99" w:rsidR="00C55D51" w:rsidRPr="007B0511" w:rsidRDefault="00C55D51" w:rsidP="0096050A">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Pr="007B0511">
        <w:rPr>
          <w:rFonts w:ascii="Tahoma" w:hAnsi="Tahoma" w:cs="Tahoma"/>
        </w:rPr>
        <w:t>____________________________</w:t>
      </w:r>
    </w:p>
    <w:p w14:paraId="44DA2933" w14:textId="5456A7BA" w:rsidR="008C1796" w:rsidRDefault="00C55D51" w:rsidP="00E67BB6">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8C1796">
        <w:rPr>
          <w:rFonts w:ascii="Tahoma" w:hAnsi="Tahoma" w:cs="Tahoma"/>
        </w:rPr>
        <w:t>TIMOTHY J. KOENIG</w:t>
      </w:r>
      <w:r w:rsidRPr="007B0511">
        <w:rPr>
          <w:rFonts w:ascii="Tahoma" w:hAnsi="Tahoma" w:cs="Tahoma"/>
        </w:rPr>
        <w:tab/>
      </w:r>
    </w:p>
    <w:p w14:paraId="4FEA5BE7" w14:textId="69177B18" w:rsidR="00C55D51" w:rsidRDefault="00C55D51" w:rsidP="008C1796">
      <w:pPr>
        <w:ind w:left="4320" w:firstLine="720"/>
        <w:jc w:val="both"/>
        <w:rPr>
          <w:rFonts w:ascii="Tahoma" w:hAnsi="Tahoma" w:cs="Tahoma"/>
        </w:rPr>
      </w:pPr>
      <w:r w:rsidRPr="007B0511">
        <w:rPr>
          <w:rFonts w:ascii="Tahoma" w:hAnsi="Tahoma" w:cs="Tahoma"/>
        </w:rPr>
        <w:t>C</w:t>
      </w:r>
      <w:r w:rsidR="00FC6B8F" w:rsidRPr="007B0511">
        <w:rPr>
          <w:rFonts w:ascii="Tahoma" w:hAnsi="Tahoma" w:cs="Tahoma"/>
        </w:rPr>
        <w:t>IRCUIT</w:t>
      </w:r>
      <w:r w:rsidRPr="007B0511">
        <w:rPr>
          <w:rFonts w:ascii="Tahoma" w:hAnsi="Tahoma" w:cs="Tahoma"/>
        </w:rPr>
        <w:t xml:space="preserve"> JUDGE</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3A34F109" w14:textId="61F81FB2" w:rsidR="00A65316" w:rsidRDefault="009804DE" w:rsidP="006E413A">
      <w:pPr>
        <w:ind w:left="720" w:hanging="720"/>
        <w:rPr>
          <w:rFonts w:ascii="Tahoma" w:hAnsi="Tahoma" w:cs="Tahoma"/>
          <w:color w:val="000000" w:themeColor="text1"/>
        </w:rPr>
      </w:pPr>
      <w:r w:rsidRPr="00EA01F9">
        <w:rPr>
          <w:rFonts w:ascii="Tahoma" w:hAnsi="Tahoma" w:cs="Tahoma"/>
          <w:color w:val="000000" w:themeColor="text1"/>
        </w:rPr>
        <w:t>c</w:t>
      </w:r>
      <w:r w:rsidR="00CC5ADB" w:rsidRPr="00EA01F9">
        <w:rPr>
          <w:rFonts w:ascii="Tahoma" w:hAnsi="Tahoma" w:cs="Tahoma"/>
          <w:color w:val="000000" w:themeColor="text1"/>
        </w:rPr>
        <w:t>c:</w:t>
      </w:r>
      <w:r w:rsidR="00612EED" w:rsidRPr="00EA01F9">
        <w:rPr>
          <w:rFonts w:ascii="Tahoma" w:hAnsi="Tahoma" w:cs="Tahoma"/>
          <w:color w:val="000000" w:themeColor="text1"/>
        </w:rPr>
        <w:t xml:space="preserve">  </w:t>
      </w:r>
      <w:r w:rsidR="00951216" w:rsidRPr="00EA01F9">
        <w:rPr>
          <w:rFonts w:ascii="Tahoma" w:hAnsi="Tahoma" w:cs="Tahoma"/>
          <w:color w:val="000000" w:themeColor="text1"/>
        </w:rPr>
        <w:tab/>
      </w:r>
      <w:sdt>
        <w:sdtPr>
          <w:rPr>
            <w:rFonts w:ascii="Tahoma" w:hAnsi="Tahoma" w:cs="Tahoma"/>
            <w:color w:val="000000" w:themeColor="text1"/>
          </w:rPr>
          <w:id w:val="-1957858035"/>
          <w:placeholder>
            <w:docPart w:val="24067186DE1C4AB59053C56C4D30EB35"/>
          </w:placeholder>
          <w:showingPlcHdr/>
          <w15:color w:val="0000FF"/>
          <w:text w:multiLine="1"/>
        </w:sdtPr>
        <w:sdtEndPr/>
        <w:sdtContent>
          <w:r w:rsidR="00210728" w:rsidRPr="00210728">
            <w:rPr>
              <w:rStyle w:val="PlaceholderText"/>
              <w:rFonts w:ascii="Tahoma" w:hAnsi="Tahoma" w:cs="Tahoma"/>
              <w:color w:val="FF0000"/>
            </w:rPr>
            <w:t>Click or tap here to enter text.</w:t>
          </w:r>
        </w:sdtContent>
      </w:sdt>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C0B95"/>
    <w:rsid w:val="003C1974"/>
    <w:rsid w:val="003C4387"/>
    <w:rsid w:val="003C451D"/>
    <w:rsid w:val="003C5A63"/>
    <w:rsid w:val="003D0AD4"/>
    <w:rsid w:val="003D2144"/>
    <w:rsid w:val="003D24A6"/>
    <w:rsid w:val="003D72D4"/>
    <w:rsid w:val="003F1DDE"/>
    <w:rsid w:val="004016F5"/>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4609"/>
    <w:rsid w:val="008B6746"/>
    <w:rsid w:val="008C1796"/>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son.Smith@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
      <w:docPartPr>
        <w:name w:val="24067186DE1C4AB59053C56C4D30EB35"/>
        <w:category>
          <w:name w:val="General"/>
          <w:gallery w:val="placeholder"/>
        </w:category>
        <w:types>
          <w:type w:val="bbPlcHdr"/>
        </w:types>
        <w:behaviors>
          <w:behavior w:val="content"/>
        </w:behaviors>
        <w:guid w:val="{B8C821C3-47C9-4CDF-8E86-63FAA16B5BD2}"/>
      </w:docPartPr>
      <w:docPartBody>
        <w:p w:rsidR="00F25EC6" w:rsidRDefault="003076CE" w:rsidP="003076CE">
          <w:pPr>
            <w:pStyle w:val="24067186DE1C4AB59053C56C4D30EB3510"/>
          </w:pPr>
          <w:r w:rsidRPr="00210728">
            <w:rPr>
              <w:rStyle w:val="PlaceholderText"/>
              <w:rFonts w:ascii="Tahoma" w:hAnsi="Tahoma" w:cs="Tahoma"/>
              <w:color w:val="FF0000"/>
            </w:rPr>
            <w:t>Click or tap here to enter text.</w:t>
          </w:r>
        </w:p>
      </w:docPartBody>
    </w:docPart>
    <w:docPart>
      <w:docPartPr>
        <w:name w:val="2CF5B1317AB944A0B6E5AE49C43DA7A6"/>
        <w:category>
          <w:name w:val="General"/>
          <w:gallery w:val="placeholder"/>
        </w:category>
        <w:types>
          <w:type w:val="bbPlcHdr"/>
        </w:types>
        <w:behaviors>
          <w:behavior w:val="content"/>
        </w:behaviors>
        <w:guid w:val="{1FA2A447-C632-44BF-9A8F-5C4E4D67AC85}"/>
      </w:docPartPr>
      <w:docPartBody>
        <w:p w:rsidR="00F25EC6" w:rsidRDefault="003076CE" w:rsidP="003076CE">
          <w:pPr>
            <w:pStyle w:val="2CF5B1317AB944A0B6E5AE49C43DA7A65"/>
          </w:pPr>
          <w:r w:rsidRPr="007F503C">
            <w:rPr>
              <w:rStyle w:val="PlaceholderText"/>
              <w:rFonts w:ascii="Tahoma" w:hAnsi="Tahoma" w:cs="Tahoma"/>
              <w:color w:val="FF0000"/>
            </w:rPr>
            <w:t>Click or tap here to enter month</w:t>
          </w:r>
        </w:p>
      </w:docPartBody>
    </w:docPart>
    <w:docPart>
      <w:docPartPr>
        <w:name w:val="BE2E7A0BB6B34CD986D9A43492286865"/>
        <w:category>
          <w:name w:val="General"/>
          <w:gallery w:val="placeholder"/>
        </w:category>
        <w:types>
          <w:type w:val="bbPlcHdr"/>
        </w:types>
        <w:behaviors>
          <w:behavior w:val="content"/>
        </w:behaviors>
        <w:guid w:val="{CCF4F641-EBCC-41E4-A62F-7851106571F8}"/>
      </w:docPartPr>
      <w:docPartBody>
        <w:p w:rsidR="00F25EC6" w:rsidRDefault="003076CE" w:rsidP="003076CE">
          <w:pPr>
            <w:pStyle w:val="BE2E7A0BB6B34CD986D9A434922868654"/>
          </w:pPr>
          <w:r w:rsidRPr="007F503C">
            <w:rPr>
              <w:rFonts w:ascii="Tahoma" w:hAnsi="Tahoma" w:cs="Tahoma"/>
              <w:color w:val="FF0000"/>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2CF5B1317AB944A0B6E5AE49C43DA7A65">
    <w:name w:val="2CF5B1317AB944A0B6E5AE49C43DA7A65"/>
    <w:rsid w:val="003076CE"/>
    <w:pPr>
      <w:spacing w:after="0" w:line="240" w:lineRule="auto"/>
    </w:pPr>
    <w:rPr>
      <w:rFonts w:ascii="Times New Roman" w:eastAsia="Times New Roman" w:hAnsi="Times New Roman" w:cs="Times New Roman"/>
      <w:sz w:val="24"/>
      <w:szCs w:val="24"/>
    </w:rPr>
  </w:style>
  <w:style w:type="paragraph" w:customStyle="1" w:styleId="BE2E7A0BB6B34CD986D9A434922868654">
    <w:name w:val="BE2E7A0BB6B34CD986D9A434922868654"/>
    <w:rsid w:val="003076CE"/>
    <w:pPr>
      <w:spacing w:after="0" w:line="240" w:lineRule="auto"/>
    </w:pPr>
    <w:rPr>
      <w:rFonts w:ascii="Times New Roman" w:eastAsia="Times New Roman" w:hAnsi="Times New Roman" w:cs="Times New Roman"/>
      <w:sz w:val="24"/>
      <w:szCs w:val="24"/>
    </w:rPr>
  </w:style>
  <w:style w:type="paragraph" w:customStyle="1" w:styleId="24067186DE1C4AB59053C56C4D30EB3510">
    <w:name w:val="24067186DE1C4AB59053C56C4D30EB3510"/>
    <w:rsid w:val="003076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2.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4.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4</Pages>
  <Words>1621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13</cp:revision>
  <cp:lastPrinted>2021-07-26T13:08:00Z</cp:lastPrinted>
  <dcterms:created xsi:type="dcterms:W3CDTF">2021-07-23T15:04:00Z</dcterms:created>
  <dcterms:modified xsi:type="dcterms:W3CDTF">2021-08-06T20:46:00Z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