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D27CAF" w:rsidRDefault="00322C4C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TONILA</w:t>
            </w:r>
          </w:p>
          <w:p w:rsidR="00A45E83" w:rsidRPr="005D285A" w:rsidRDefault="00CC558D" w:rsidP="005D28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C558D">
              <w:rPr>
                <w:rFonts w:ascii="Arial" w:hAnsi="Arial" w:cs="Arial"/>
                <w:b/>
                <w:sz w:val="24"/>
                <w:szCs w:val="28"/>
              </w:rPr>
              <w:t>IN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FORME ANUAL DE DESEMPEÑO EN LA </w:t>
            </w:r>
            <w:r w:rsidRPr="00CC558D">
              <w:rPr>
                <w:rFonts w:ascii="Arial" w:hAnsi="Arial" w:cs="Arial"/>
                <w:b/>
                <w:sz w:val="24"/>
                <w:szCs w:val="28"/>
              </w:rPr>
              <w:t>GESTIÓN</w:t>
            </w:r>
          </w:p>
          <w:p w:rsidR="00A45E83" w:rsidRPr="007D77B1" w:rsidRDefault="00322C4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2022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bookmarkStart w:id="2" w:name="cuerpo"/>
            <w:bookmarkEnd w:id="2"/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exact"/>
              <w:ind w:left="1008" w:hanging="72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mallCaps/>
                <w:lang w:val="es-ES" w:eastAsia="es-MX"/>
              </w:rPr>
              <w:t>Notas a los Estados Financieros</w:t>
            </w:r>
            <w:r>
              <w:rPr>
                <w:rFonts w:cs="Calibri"/>
                <w:lang w:eastAsia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lang w:val="es-ES" w:eastAsia="es-MX"/>
              </w:rPr>
              <w:t>Evaluación De Programas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80" w:line="203" w:lineRule="exact"/>
              <w:ind w:firstLine="288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 xml:space="preserve">Con el propósito de dar cumplimiento a los artículos 46 y 49 de la Ley General de Contabilidad Gubernamental, el Municipio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>TONILA</w:t>
            </w: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>, Jalisco; presenta algunos rubros importantes teniendo presente los postulados de revelación suficiente e importancia relativa con las siguientes: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exact"/>
              <w:ind w:firstLine="288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exact"/>
              <w:ind w:firstLine="288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mallCaps/>
                <w:lang w:val="es-ES" w:eastAsia="es-MX"/>
              </w:rPr>
              <w:t>Evaluación De Programas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>Gestión Administrativa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 xml:space="preserve">El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>Avance de la Gestión Administrativa</w:t>
            </w: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 xml:space="preserve"> correspondientes a los Egresos registrado al día último del mes de DICIEMBRE del ejercicio fiscal 2022 para el Municipio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>TONILA</w:t>
            </w: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>, Jalisco con relación a sus Temas o Ejes Principales de los cuales se desglosan Programas y Acciones de: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709" w:right="2950" w:hanging="1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>SERVICIOS PÚBLICOS EFICIENTES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 xml:space="preserve">1.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  <w:t>Brindar los servicios públicos, administrativos, registrales, patrimoniales y de ordenamiento de manera regular, continua y permanente para satisfacer las necesidades de la comunidad y coadyuvar para su desarrollo integral y ordenado.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709" w:right="2525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>SEGURIDAD PÚBLICA INTEGRAL Y EFICIENTE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>2.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  <w:t>Salvaguardar la integridad, los derechos, las libertades y el patrimonio de los ciudadanos; así como, preservar el orden, la armonía y la paz en comunidad que coadyuve a la seguridad pública. Fomentar la protección civil y responder de manera efectiva ante cualquier contingencia.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709" w:right="2808" w:hanging="1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>DESARROLLO SOCIAL Y HUMANO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>2.1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  <w:t>Incrementar el bienestar y la calidad de vida de los habitantes con acciones que reduzcan la pobreza, la marginación y la desigualdad; así como el fomento a la educación, el deporte, la integración y convivencia social y cultural para reforzar los lazos entre las familias y la sociedad para mejorar las condiciones de vida junto con la salud pública.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double"/>
                <w:lang w:val="es-ES" w:eastAsia="es-MX"/>
              </w:rPr>
            </w:pPr>
          </w:p>
          <w:p w:rsidR="00322C4C" w:rsidRDefault="00322C4C" w:rsidP="00322C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708" w:right="2666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lastRenderedPageBreak/>
              <w:t>INFRAESTRUCTURA Y VÍAS DE COMUNICACIÓN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>2.2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  <w:t>Construcción y desarrollo de infraestructura hidráulica, urbana, de vías de comunicación y la edificación de inmuebles; así como las obras, acciones, proyectos, construcciones, remodelaciones y equipamientos con el único fin de mejorar los servicios y beneficiar a la población en general</w:t>
            </w: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>.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708" w:right="2383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>GOBIERNO CERCANO Y EFICIENTE (Administración General)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>5.1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  <w:t>Brindar los servicios públicos, administrativos, registrales, patrimoniales y de ordenamiento de manera regular continua y permanente para satisfacer las necesidades de la comunidad y coadyuvar para su desarrollo integral y ordenado</w:t>
            </w: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>.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709" w:hanging="349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>5.2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  <w:t>Desarrollo de la capacidad institucional, administrativa y de gestión del municipio, sobre todo en lo que respecta a la aplicación, comunicación y evaluación de políticas, programas y proyectos, transparencia y rendición de cuentas que coadyuve en la mejora de la gobernanza y cumplimiento de la normativa.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>5.3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  <w:t>Coordinar la política hacendaria del municipio en materia del gasto público y clasificación de los egresos de conformidad con presupuesto aprobado para el ejercicio fiscal 2022 bajo los principios de austeridad, control y transparencia en el manejo del recurso.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>5.4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ES" w:eastAsia="es-MX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" w:eastAsia="es-MX"/>
              </w:rPr>
              <w:t>Coordinar la política hacendaria del municipio en materia de recaudación y clasificación de los ingresos de conformidad con la normatividad aprobada para el ejercicio fiscal 2022.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exact"/>
              <w:ind w:left="284" w:firstLine="4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ES" w:eastAsia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ES" w:eastAsia="es-MX"/>
              </w:rPr>
              <w:t>Conciliación entre los ingresos presupuestarios y contables, así como entre los egresos presupuestarios y los gastos contables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ES"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Conciliación entre los Ingresos Presupuestarios y Contables 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101" w:line="224" w:lineRule="exact"/>
              <w:ind w:left="284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Se informa acerca de la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Conciliación entre los Ingresos Presupuestarios y Contables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junto con su saldo al </w:t>
            </w: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>día último de mes de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 xml:space="preserve"> DICIEMBRE </w:t>
            </w: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 xml:space="preserve">del ejercicio fiscal 2022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y son acordes al Balance General del Municipio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TONILA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, Jalisco y se relacionan de la siguiente manera: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"/>
              <w:gridCol w:w="36"/>
              <w:gridCol w:w="6580"/>
              <w:gridCol w:w="526"/>
              <w:gridCol w:w="1327"/>
            </w:tblGrid>
            <w:tr w:rsidR="00322C4C">
              <w:tc>
                <w:tcPr>
                  <w:tcW w:w="8505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22C4C" w:rsidRDefault="00322C4C" w:rsidP="001772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es-MX"/>
                    </w:rPr>
                    <w:t>H. AYUTAMIENTO DE TONILA, JAL.</w:t>
                  </w:r>
                </w:p>
              </w:tc>
            </w:tr>
            <w:tr w:rsidR="00322C4C">
              <w:tc>
                <w:tcPr>
                  <w:tcW w:w="8505" w:type="dxa"/>
                  <w:gridSpan w:val="5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22C4C" w:rsidRDefault="00322C4C" w:rsidP="001772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es-MX"/>
                    </w:rPr>
                    <w:t>CONCILIACIÓN ENTRE LOS INGRESOS PRESUPUESTARIOS</w:t>
                  </w:r>
                </w:p>
              </w:tc>
            </w:tr>
            <w:tr w:rsidR="00322C4C">
              <w:tc>
                <w:tcPr>
                  <w:tcW w:w="8505" w:type="dxa"/>
                  <w:gridSpan w:val="5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1772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es-MX"/>
                    </w:rPr>
                    <w:t>AL 31 DE DICIEMBRE DEL 2022</w:t>
                  </w: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717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1. Total de Ingresos (Presupuestarios)</w:t>
                  </w:r>
                </w:p>
              </w:tc>
              <w:tc>
                <w:tcPr>
                  <w:tcW w:w="132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$55,626,296.10</w:t>
                  </w: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717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2. Más Ingresos Contables no Contables</w:t>
                  </w:r>
                </w:p>
              </w:tc>
              <w:tc>
                <w:tcPr>
                  <w:tcW w:w="132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Otros Ingresos Contables no Presupuestarios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717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32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Productos de Capital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Aprovechamientos de Capital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665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Otros Ingresos Presupuestarios no Contables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717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4. Total Ingresos Contables</w:t>
                  </w:r>
                </w:p>
              </w:tc>
              <w:tc>
                <w:tcPr>
                  <w:tcW w:w="132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$55,626,296.10</w:t>
                  </w:r>
                </w:p>
              </w:tc>
            </w:tr>
          </w:tbl>
          <w:p w:rsidR="00322C4C" w:rsidRDefault="00322C4C" w:rsidP="00322C4C">
            <w:pPr>
              <w:autoSpaceDE w:val="0"/>
              <w:autoSpaceDN w:val="0"/>
              <w:adjustRightInd w:val="0"/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bookmarkStart w:id="3" w:name="_GoBack"/>
            <w:bookmarkEnd w:id="3"/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Conciliación entre los Egresos Presupuestarios y Contables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101" w:line="224" w:lineRule="exact"/>
              <w:ind w:left="284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Se informa acerca de la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 xml:space="preserve">Conciliación entre los Egresos Presupuestarios y Contables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junto con su saldo al </w:t>
            </w: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>día último de mes de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MX"/>
              </w:rPr>
              <w:t xml:space="preserve"> DICIEMBRE </w:t>
            </w:r>
            <w:r>
              <w:rPr>
                <w:rFonts w:ascii="Arial" w:hAnsi="Arial" w:cs="Arial"/>
                <w:sz w:val="18"/>
                <w:szCs w:val="18"/>
                <w:lang w:val="es-ES" w:eastAsia="es-MX"/>
              </w:rPr>
              <w:t xml:space="preserve">del ejercicio fiscal 2022 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y son acordes al Balance General del Municipio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  <w:t>TONILA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, Jalisco y se relacionan de la siguiente manera:</w:t>
            </w: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"/>
              <w:gridCol w:w="4986"/>
              <w:gridCol w:w="2058"/>
              <w:gridCol w:w="1417"/>
            </w:tblGrid>
            <w:tr w:rsidR="00322C4C">
              <w:tc>
                <w:tcPr>
                  <w:tcW w:w="849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22C4C" w:rsidRDefault="00322C4C" w:rsidP="001772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H. AYUNTAMIENTO</w:t>
                  </w:r>
                </w:p>
              </w:tc>
            </w:tr>
            <w:tr w:rsidR="00322C4C">
              <w:tc>
                <w:tcPr>
                  <w:tcW w:w="8497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22C4C" w:rsidRDefault="00322C4C" w:rsidP="001772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CONCILIACIÓN ENTRE LOS EGRESOS PRESUPUESTARIOS</w:t>
                  </w:r>
                </w:p>
              </w:tc>
            </w:tr>
            <w:tr w:rsidR="00322C4C">
              <w:tc>
                <w:tcPr>
                  <w:tcW w:w="8497" w:type="dxa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1772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AL 31 DE DICIEMBRE DEL 2022</w:t>
                  </w: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70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$58,047,305.00</w:t>
                  </w: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70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$11,684,653.71</w:t>
                  </w: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Mobiliario y Equipo de Administración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$29,625.00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Mobiliario y Equipo Educacional y Recreativo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Equipo e Instrumental Médico y de Laboratorio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$1,236,401.90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Bienes Inmuebles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$263,920.00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Obra Pública en Bienes de Dominio Público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$9,415,234.56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Proyectos Productivos y Acciones de Fomento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$739,472.25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70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3. Más Gastos Contables no Presupuestales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Provisiones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Aumento por Insuficiencia de Estimaciones por Pérdida o Deterioro u Obsolescencia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Otros Gastos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Otros Gastos Contables no Presupuestales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$0.00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22C4C">
              <w:tc>
                <w:tcPr>
                  <w:tcW w:w="70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4. Total de Gasto Contable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322C4C" w:rsidRDefault="00322C4C" w:rsidP="00322C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$46,362,651.29</w:t>
                  </w:r>
                </w:p>
              </w:tc>
            </w:tr>
          </w:tbl>
          <w:p w:rsidR="00322C4C" w:rsidRDefault="00322C4C" w:rsidP="00322C4C">
            <w:pPr>
              <w:autoSpaceDE w:val="0"/>
              <w:autoSpaceDN w:val="0"/>
              <w:adjustRightInd w:val="0"/>
              <w:spacing w:after="101" w:line="224" w:lineRule="exact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:rsidR="00322C4C" w:rsidRDefault="00322C4C" w:rsidP="003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:rsidTr="00900B0E">
        <w:tc>
          <w:tcPr>
            <w:tcW w:w="3794" w:type="dxa"/>
            <w:shd w:val="clear" w:color="auto" w:fill="auto"/>
          </w:tcPr>
          <w:p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:rsidTr="00900B0E">
        <w:tc>
          <w:tcPr>
            <w:tcW w:w="3794" w:type="dxa"/>
            <w:shd w:val="clear" w:color="auto" w:fill="auto"/>
          </w:tcPr>
          <w:p w:rsidR="00900B0E" w:rsidRPr="001A2522" w:rsidRDefault="00322C4C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C. JOSÉ MARTIN HERNANDEZ ALVAREZ</w:t>
            </w:r>
          </w:p>
          <w:p w:rsidR="00900B0E" w:rsidRPr="001A2522" w:rsidRDefault="00322C4C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:rsidR="00900B0E" w:rsidRPr="001A2522" w:rsidRDefault="00322C4C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C. URIEL ALEJANDRO MAGAÑA RENTERÍA</w:t>
            </w:r>
          </w:p>
          <w:p w:rsidR="00900B0E" w:rsidRPr="001A2522" w:rsidRDefault="00322C4C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ENCARGADO DE LA HACIENDA MUNICIPAL</w:t>
            </w:r>
          </w:p>
        </w:tc>
      </w:tr>
    </w:tbl>
    <w:p w:rsidR="00002A2C" w:rsidRDefault="00002A2C">
      <w:pPr>
        <w:rPr>
          <w:rFonts w:ascii="Arial" w:hAnsi="Arial" w:cs="Arial"/>
        </w:rPr>
      </w:pPr>
    </w:p>
    <w:p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:rsidR="00900B0E" w:rsidRDefault="00900B0E" w:rsidP="002A42CF">
      <w:pPr>
        <w:rPr>
          <w:rFonts w:ascii="Arial" w:hAnsi="Arial" w:cs="Arial"/>
          <w:sz w:val="24"/>
          <w:szCs w:val="24"/>
        </w:rPr>
      </w:pPr>
    </w:p>
    <w:p w:rsidR="002A42CF" w:rsidRPr="00076359" w:rsidRDefault="00322C4C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8" w:name="codigo"/>
      <w:bookmarkEnd w:id="8"/>
      <w:r>
        <w:rPr>
          <w:rFonts w:ascii="C39HrP24DhTt" w:hAnsi="C39HrP24DhTt" w:cs="Arial"/>
          <w:sz w:val="44"/>
          <w:szCs w:val="44"/>
        </w:rPr>
        <w:t>ASEJ2022-13-18-09-2023-1</w:t>
      </w:r>
    </w:p>
    <w:p w:rsidR="002A42CF" w:rsidRDefault="002A42CF" w:rsidP="00002A2C">
      <w:pPr>
        <w:rPr>
          <w:rFonts w:ascii="Arial" w:hAnsi="Arial" w:cs="Arial"/>
          <w:sz w:val="24"/>
          <w:szCs w:val="24"/>
        </w:rPr>
      </w:pPr>
    </w:p>
    <w:p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02A2C"/>
    <w:rsid w:val="00076359"/>
    <w:rsid w:val="000D0F62"/>
    <w:rsid w:val="001772CD"/>
    <w:rsid w:val="001A2522"/>
    <w:rsid w:val="001F207A"/>
    <w:rsid w:val="00203DB3"/>
    <w:rsid w:val="002A42CF"/>
    <w:rsid w:val="00322C4C"/>
    <w:rsid w:val="0040191D"/>
    <w:rsid w:val="005D285A"/>
    <w:rsid w:val="007326BD"/>
    <w:rsid w:val="007D77B1"/>
    <w:rsid w:val="00806603"/>
    <w:rsid w:val="00900B0E"/>
    <w:rsid w:val="00A45E83"/>
    <w:rsid w:val="00A74DC0"/>
    <w:rsid w:val="00B07C90"/>
    <w:rsid w:val="00BE3AB1"/>
    <w:rsid w:val="00CC558D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B74B-AC87-4B49-B732-20D5444A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Soft</cp:lastModifiedBy>
  <cp:revision>8</cp:revision>
  <dcterms:created xsi:type="dcterms:W3CDTF">2020-05-27T16:03:00Z</dcterms:created>
  <dcterms:modified xsi:type="dcterms:W3CDTF">2023-09-19T02:42:00Z</dcterms:modified>
</cp:coreProperties>
</file>