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CF" w:rsidRDefault="00FD5F9B" w:rsidP="00065B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NOTAS A PRESUPUESTO</w:t>
      </w:r>
      <w:r w:rsidR="00065B06" w:rsidRPr="00065B06">
        <w:rPr>
          <w:b/>
          <w:sz w:val="24"/>
          <w:szCs w:val="24"/>
          <w:u w:val="single"/>
        </w:rPr>
        <w:t xml:space="preserve"> DE </w:t>
      </w:r>
      <w:r w:rsidR="0013486C">
        <w:rPr>
          <w:b/>
          <w:sz w:val="24"/>
          <w:szCs w:val="24"/>
          <w:u w:val="single"/>
        </w:rPr>
        <w:t xml:space="preserve">INGRESOS Y </w:t>
      </w:r>
      <w:r w:rsidR="007C6CC2">
        <w:rPr>
          <w:b/>
          <w:sz w:val="24"/>
          <w:szCs w:val="24"/>
          <w:u w:val="single"/>
        </w:rPr>
        <w:t>EGRESOS 2019</w:t>
      </w:r>
    </w:p>
    <w:p w:rsidR="0013486C" w:rsidRDefault="0013486C" w:rsidP="0013486C">
      <w:pPr>
        <w:tabs>
          <w:tab w:val="left" w:pos="120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INGRESOS</w:t>
      </w:r>
    </w:p>
    <w:p w:rsidR="0013486C" w:rsidRPr="0013486C" w:rsidRDefault="0013486C" w:rsidP="00611B30">
      <w:pPr>
        <w:tabs>
          <w:tab w:val="left" w:pos="120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NOTA</w:t>
      </w:r>
      <w:r w:rsidR="00A42A45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EN EL RUBRO DE PARTICIPACIONES SE ESTÁ CONSIDERANDO UN IMPORTE ADICIONAL DE $3’000,000.00, RECURSOS QUE SE SOLICITARÁN A SEFIN COMO ADELANDO DE PARTICIPACIONES EN EL MES DE NOVIEMBRE DEL PRESENTE EJERCICIO.</w:t>
      </w:r>
    </w:p>
    <w:p w:rsidR="00A42A45" w:rsidRDefault="0013486C" w:rsidP="00A42A45">
      <w:pPr>
        <w:tabs>
          <w:tab w:val="left" w:pos="120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EGRESOS</w:t>
      </w:r>
    </w:p>
    <w:p w:rsidR="00A42A45" w:rsidRDefault="00A42A45" w:rsidP="00A42A45">
      <w:pPr>
        <w:tabs>
          <w:tab w:val="left" w:pos="120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NOTA 2: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245"/>
        <w:gridCol w:w="4814"/>
      </w:tblGrid>
      <w:tr w:rsidR="00611B30" w:rsidTr="00B8536A">
        <w:tc>
          <w:tcPr>
            <w:tcW w:w="3085" w:type="dxa"/>
          </w:tcPr>
          <w:p w:rsidR="00611B30" w:rsidRPr="00611B30" w:rsidRDefault="00611B30" w:rsidP="00611B30">
            <w:pPr>
              <w:jc w:val="center"/>
              <w:rPr>
                <w:b/>
                <w:sz w:val="28"/>
                <w:szCs w:val="28"/>
              </w:rPr>
            </w:pPr>
            <w:r w:rsidRPr="00611B30">
              <w:rPr>
                <w:b/>
                <w:sz w:val="28"/>
                <w:szCs w:val="28"/>
              </w:rPr>
              <w:t>UNIDAD ADMINISTRATIVA</w:t>
            </w:r>
          </w:p>
        </w:tc>
        <w:tc>
          <w:tcPr>
            <w:tcW w:w="5245" w:type="dxa"/>
          </w:tcPr>
          <w:p w:rsidR="00611B30" w:rsidRPr="00611B30" w:rsidRDefault="00611B30" w:rsidP="00611B30">
            <w:pPr>
              <w:jc w:val="center"/>
              <w:rPr>
                <w:b/>
                <w:sz w:val="28"/>
                <w:szCs w:val="28"/>
              </w:rPr>
            </w:pPr>
            <w:r w:rsidRPr="00611B30">
              <w:rPr>
                <w:b/>
                <w:sz w:val="28"/>
                <w:szCs w:val="28"/>
              </w:rPr>
              <w:t>CUENTA</w:t>
            </w:r>
          </w:p>
        </w:tc>
        <w:tc>
          <w:tcPr>
            <w:tcW w:w="4814" w:type="dxa"/>
          </w:tcPr>
          <w:p w:rsidR="00611B30" w:rsidRPr="00611B30" w:rsidRDefault="00B8536A" w:rsidP="00611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OBSERVACIONES</w:t>
            </w:r>
          </w:p>
        </w:tc>
      </w:tr>
      <w:tr w:rsidR="00611B30" w:rsidTr="00B8536A">
        <w:tc>
          <w:tcPr>
            <w:tcW w:w="3085" w:type="dxa"/>
          </w:tcPr>
          <w:p w:rsidR="00611B30" w:rsidRPr="00B8536A" w:rsidRDefault="00B8536A" w:rsidP="0006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TESORERÍA</w:t>
            </w:r>
          </w:p>
        </w:tc>
        <w:tc>
          <w:tcPr>
            <w:tcW w:w="5245" w:type="dxa"/>
          </w:tcPr>
          <w:p w:rsidR="00611B30" w:rsidRPr="00B8536A" w:rsidRDefault="00D353BB" w:rsidP="0006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1531-1.-PRESTACIONES DE RETIRO</w:t>
            </w:r>
            <w:r w:rsidR="00FF16C2">
              <w:rPr>
                <w:sz w:val="24"/>
                <w:szCs w:val="24"/>
              </w:rPr>
              <w:t xml:space="preserve"> (G. CORRIENTE)</w:t>
            </w:r>
          </w:p>
        </w:tc>
        <w:tc>
          <w:tcPr>
            <w:tcW w:w="4814" w:type="dxa"/>
          </w:tcPr>
          <w:p w:rsidR="00B8536A" w:rsidRPr="00B8536A" w:rsidRDefault="00D353BB" w:rsidP="005766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PRESUPUESTO </w:t>
            </w:r>
            <w:r w:rsidR="00FF16C2">
              <w:rPr>
                <w:sz w:val="24"/>
                <w:szCs w:val="24"/>
              </w:rPr>
              <w:t>PARA</w:t>
            </w:r>
            <w:r>
              <w:rPr>
                <w:sz w:val="24"/>
                <w:szCs w:val="24"/>
              </w:rPr>
              <w:t xml:space="preserve"> EL EJERCICIO 2019, REFLEJA</w:t>
            </w:r>
            <w:r w:rsidR="00B8536A">
              <w:rPr>
                <w:sz w:val="24"/>
                <w:szCs w:val="24"/>
              </w:rPr>
              <w:t xml:space="preserve"> UN INCREMENTO DEL</w:t>
            </w:r>
            <w:r w:rsidR="00FF16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130</w:t>
            </w:r>
            <w:r w:rsidR="00B8536A">
              <w:rPr>
                <w:sz w:val="24"/>
                <w:szCs w:val="24"/>
              </w:rPr>
              <w:t>% EN RELACIÓN CON EL EJERCICI</w:t>
            </w:r>
            <w:r>
              <w:rPr>
                <w:sz w:val="24"/>
                <w:szCs w:val="24"/>
              </w:rPr>
              <w:t>O 2018, DEBIDO A QUE EN ESTE RUBRO SE ESTÁ CONSIDERANDO</w:t>
            </w:r>
            <w:r w:rsidR="007620BF">
              <w:rPr>
                <w:sz w:val="24"/>
                <w:szCs w:val="24"/>
              </w:rPr>
              <w:t xml:space="preserve"> EL PAGO </w:t>
            </w:r>
            <w:r>
              <w:rPr>
                <w:sz w:val="24"/>
                <w:szCs w:val="24"/>
              </w:rPr>
              <w:t xml:space="preserve">DE </w:t>
            </w:r>
            <w:r w:rsidR="007620BF">
              <w:rPr>
                <w:sz w:val="24"/>
                <w:szCs w:val="24"/>
              </w:rPr>
              <w:t xml:space="preserve">RETIROS POR </w:t>
            </w:r>
            <w:r>
              <w:rPr>
                <w:sz w:val="24"/>
                <w:szCs w:val="24"/>
              </w:rPr>
              <w:t xml:space="preserve">JUBILACIONES </w:t>
            </w:r>
            <w:r w:rsidR="007620BF">
              <w:rPr>
                <w:sz w:val="24"/>
                <w:szCs w:val="24"/>
              </w:rPr>
              <w:t xml:space="preserve">DEL PERSONAL SINDICALIZADO </w:t>
            </w:r>
            <w:r w:rsidR="007620BF">
              <w:rPr>
                <w:sz w:val="24"/>
                <w:szCs w:val="24"/>
              </w:rPr>
              <w:t xml:space="preserve">PARA 2019, </w:t>
            </w:r>
            <w:r>
              <w:rPr>
                <w:sz w:val="24"/>
                <w:szCs w:val="24"/>
              </w:rPr>
              <w:t>DE ACUERDO A CONVENIO CON EL SUTSEMOP</w:t>
            </w:r>
            <w:r w:rsidR="007620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ADEMÁS  DEL</w:t>
            </w:r>
            <w:r w:rsidR="007620BF">
              <w:rPr>
                <w:sz w:val="24"/>
                <w:szCs w:val="24"/>
              </w:rPr>
              <w:t xml:space="preserve"> GASTO QUINCENAL</w:t>
            </w:r>
            <w:r>
              <w:rPr>
                <w:sz w:val="24"/>
                <w:szCs w:val="24"/>
              </w:rPr>
              <w:t xml:space="preserve"> DEL PERSONAL PENSIONADO</w:t>
            </w:r>
            <w:r w:rsidR="00B8536A">
              <w:rPr>
                <w:sz w:val="24"/>
                <w:szCs w:val="24"/>
              </w:rPr>
              <w:t>.</w:t>
            </w:r>
          </w:p>
        </w:tc>
      </w:tr>
      <w:tr w:rsidR="00611B30" w:rsidTr="00B8536A">
        <w:tc>
          <w:tcPr>
            <w:tcW w:w="3085" w:type="dxa"/>
          </w:tcPr>
          <w:p w:rsidR="00611B30" w:rsidRPr="00FF16C2" w:rsidRDefault="00D353BB" w:rsidP="0006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I. F. MUNICIPAL</w:t>
            </w:r>
          </w:p>
        </w:tc>
        <w:tc>
          <w:tcPr>
            <w:tcW w:w="5245" w:type="dxa"/>
          </w:tcPr>
          <w:p w:rsidR="00611B30" w:rsidRPr="00FF16C2" w:rsidRDefault="00D353BB" w:rsidP="0006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1322-1.-GRATIFICACIÓN DE FIN DE AÑO</w:t>
            </w:r>
            <w:r w:rsidR="00FF16C2">
              <w:rPr>
                <w:sz w:val="24"/>
                <w:szCs w:val="24"/>
              </w:rPr>
              <w:t xml:space="preserve"> (G. CORRIENTE)</w:t>
            </w:r>
          </w:p>
        </w:tc>
        <w:tc>
          <w:tcPr>
            <w:tcW w:w="4814" w:type="dxa"/>
          </w:tcPr>
          <w:p w:rsidR="00611B30" w:rsidRPr="00FF16C2" w:rsidRDefault="0057661E" w:rsidP="005766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PRESUPUESTO PARA EL EJERCICIO</w:t>
            </w:r>
            <w:r w:rsidR="00D353BB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SE OBSERVA UN INCREMENTO DEL 2</w:t>
            </w:r>
            <w:r w:rsidR="00FF16C2">
              <w:rPr>
                <w:sz w:val="24"/>
                <w:szCs w:val="24"/>
              </w:rPr>
              <w:t>5% E</w:t>
            </w:r>
            <w:r>
              <w:rPr>
                <w:sz w:val="24"/>
                <w:szCs w:val="24"/>
              </w:rPr>
              <w:t>N RELACIÓN CON EL EJERCICIO 2018</w:t>
            </w:r>
            <w:r w:rsidR="00FF16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ESTO</w:t>
            </w:r>
            <w:r w:rsidR="005A4516">
              <w:rPr>
                <w:sz w:val="24"/>
                <w:szCs w:val="24"/>
              </w:rPr>
              <w:t xml:space="preserve"> DEBIDO A QUE SE ESTÁ</w:t>
            </w:r>
            <w:r>
              <w:rPr>
                <w:sz w:val="24"/>
                <w:szCs w:val="24"/>
              </w:rPr>
              <w:t xml:space="preserve"> CONSIDERANDO EL PAGO DE NÓMINA AL 31/DIC/18</w:t>
            </w:r>
            <w:r w:rsidR="005A4516">
              <w:rPr>
                <w:sz w:val="24"/>
                <w:szCs w:val="24"/>
              </w:rPr>
              <w:t xml:space="preserve"> DE LA PRESENTE ADMINISTRACIÓN</w:t>
            </w:r>
            <w:r>
              <w:rPr>
                <w:sz w:val="24"/>
                <w:szCs w:val="24"/>
              </w:rPr>
              <w:t>. (INCLUYE PERSONAL SINDICALIZADO).</w:t>
            </w:r>
          </w:p>
        </w:tc>
      </w:tr>
      <w:tr w:rsidR="00611B30" w:rsidTr="00B8536A">
        <w:tc>
          <w:tcPr>
            <w:tcW w:w="3085" w:type="dxa"/>
          </w:tcPr>
          <w:p w:rsidR="00611B30" w:rsidRPr="00FF16C2" w:rsidRDefault="0057661E" w:rsidP="0006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PÚBLICAS</w:t>
            </w:r>
          </w:p>
        </w:tc>
        <w:tc>
          <w:tcPr>
            <w:tcW w:w="5245" w:type="dxa"/>
          </w:tcPr>
          <w:p w:rsidR="00611B30" w:rsidRPr="00FF16C2" w:rsidRDefault="0057661E" w:rsidP="0006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1221-1.-SUELDOS BASE</w:t>
            </w:r>
            <w:r w:rsidR="00323939">
              <w:rPr>
                <w:sz w:val="24"/>
                <w:szCs w:val="24"/>
              </w:rPr>
              <w:t xml:space="preserve"> (G. CORRIENTE)</w:t>
            </w:r>
          </w:p>
        </w:tc>
        <w:tc>
          <w:tcPr>
            <w:tcW w:w="4814" w:type="dxa"/>
          </w:tcPr>
          <w:p w:rsidR="00611B30" w:rsidRPr="00FF16C2" w:rsidRDefault="00323939" w:rsidP="005A4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 RUBRO</w:t>
            </w:r>
            <w:r w:rsidR="0057661E">
              <w:rPr>
                <w:sz w:val="24"/>
                <w:szCs w:val="24"/>
              </w:rPr>
              <w:t xml:space="preserve"> EN LOS PROYECTOS 301001, </w:t>
            </w:r>
            <w:r w:rsidR="0057661E">
              <w:rPr>
                <w:sz w:val="24"/>
                <w:szCs w:val="24"/>
              </w:rPr>
              <w:lastRenderedPageBreak/>
              <w:t>304002, 304003, 304004, 304006, 304007, 305004 Y 305005, REPORTA INCREMENTOS POR  DE</w:t>
            </w:r>
            <w:r>
              <w:rPr>
                <w:sz w:val="24"/>
                <w:szCs w:val="24"/>
              </w:rPr>
              <w:t xml:space="preserve">MÁS </w:t>
            </w:r>
            <w:r w:rsidR="0057661E">
              <w:rPr>
                <w:sz w:val="24"/>
                <w:szCs w:val="24"/>
              </w:rPr>
              <w:t xml:space="preserve">ELEVADOS EN RELACIÓN CON EL PRESUPUESTO DEL EJERCICIO 2018, </w:t>
            </w:r>
            <w:r w:rsidR="005A4516">
              <w:rPr>
                <w:sz w:val="24"/>
                <w:szCs w:val="24"/>
              </w:rPr>
              <w:t>ESTO</w:t>
            </w:r>
            <w:r>
              <w:rPr>
                <w:sz w:val="24"/>
                <w:szCs w:val="24"/>
              </w:rPr>
              <w:t xml:space="preserve"> DEBIDO A QUE EN </w:t>
            </w:r>
            <w:r w:rsidR="0057661E">
              <w:rPr>
                <w:sz w:val="24"/>
                <w:szCs w:val="24"/>
              </w:rPr>
              <w:t>ESTOS PROYECTOS LA DIRECCIÓN DE OBRAS PÚBLICAS PARA DICHO EJERCIC</w:t>
            </w:r>
            <w:r w:rsidR="005A4516">
              <w:rPr>
                <w:sz w:val="24"/>
                <w:szCs w:val="24"/>
              </w:rPr>
              <w:t>IO SOLO HABÍA CONSIDERADO UN PRESUPUESTO DE $5,000.00</w:t>
            </w:r>
            <w:r>
              <w:rPr>
                <w:sz w:val="24"/>
                <w:szCs w:val="24"/>
              </w:rPr>
              <w:t>,</w:t>
            </w:r>
            <w:r w:rsidR="005A4516">
              <w:rPr>
                <w:sz w:val="24"/>
                <w:szCs w:val="24"/>
              </w:rPr>
              <w:t xml:space="preserve"> YA QUE TODO EL GASTO DE NÓMINA EN EL AÑO 2017 SE REGISTRÓ EN EL GLOBAL DEL PROYECTO 301001, Y A PARTIR DEL MES DE FEBRERO 2018</w:t>
            </w:r>
            <w:r>
              <w:rPr>
                <w:sz w:val="24"/>
                <w:szCs w:val="24"/>
              </w:rPr>
              <w:t xml:space="preserve"> </w:t>
            </w:r>
            <w:r w:rsidR="005A4516">
              <w:rPr>
                <w:sz w:val="24"/>
                <w:szCs w:val="24"/>
              </w:rPr>
              <w:t>SE REALIZÒ LA MODIFICACIÓN AL PRESUPUESTO</w:t>
            </w:r>
            <w:r w:rsidR="007620BF">
              <w:rPr>
                <w:sz w:val="24"/>
                <w:szCs w:val="24"/>
              </w:rPr>
              <w:t xml:space="preserve">, </w:t>
            </w:r>
            <w:r w:rsidR="005A4516">
              <w:rPr>
                <w:sz w:val="24"/>
                <w:szCs w:val="24"/>
              </w:rPr>
              <w:t>REGISTRANDO CORRECTAMENTE EN CADA UNO DE LOS PROYECTOS MENCIONADOS, RAZÓN POR LA QUE SE OBSERVA EL IN</w:t>
            </w:r>
            <w:r w:rsidR="007620BF">
              <w:rPr>
                <w:sz w:val="24"/>
                <w:szCs w:val="24"/>
              </w:rPr>
              <w:t>CREMENTO ANTES MENCIONADO</w:t>
            </w:r>
            <w:r w:rsidR="005A4516">
              <w:rPr>
                <w:sz w:val="24"/>
                <w:szCs w:val="24"/>
              </w:rPr>
              <w:t>.</w:t>
            </w:r>
          </w:p>
        </w:tc>
      </w:tr>
    </w:tbl>
    <w:p w:rsidR="00857304" w:rsidRDefault="00857304" w:rsidP="00065B06">
      <w:pPr>
        <w:rPr>
          <w:b/>
          <w:sz w:val="24"/>
          <w:szCs w:val="24"/>
          <w:u w:val="single"/>
        </w:rPr>
      </w:pPr>
    </w:p>
    <w:p w:rsidR="0013486C" w:rsidRPr="00A42A45" w:rsidRDefault="00A42A45" w:rsidP="00A42A4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NOTA 3:</w:t>
      </w:r>
      <w:r>
        <w:rPr>
          <w:sz w:val="24"/>
          <w:szCs w:val="24"/>
        </w:rPr>
        <w:t xml:space="preserve"> DEBIDO A QUE A LA FECHA DE PRESENTACIÓN NO ES POSILE CONOCER LOS PROYECTOS ESPECÍFICOS EN DONDE SE APLICARÁN LOS RECURSOS DE FONDO III, FONDO IV Y CONVENIOS (OTROS PROGRAMAS) SE HACEN PROYECTOS CONCENTRADORES</w:t>
      </w:r>
      <w:bookmarkStart w:id="0" w:name="_GoBack"/>
      <w:bookmarkEnd w:id="0"/>
      <w:r>
        <w:rPr>
          <w:sz w:val="24"/>
          <w:szCs w:val="24"/>
        </w:rPr>
        <w:t>, DE LOS CUALES UNA VEZ QUE SE APRUEBEN LOS PROYECTOS EN CONCRETO SE HARÁN LAS RECLASIFICACIONES PRESUPUESTALES CORRESPONDIENTES.</w:t>
      </w:r>
    </w:p>
    <w:p w:rsidR="0013486C" w:rsidRDefault="0013486C" w:rsidP="00065B06">
      <w:pPr>
        <w:rPr>
          <w:b/>
          <w:sz w:val="24"/>
          <w:szCs w:val="24"/>
          <w:u w:val="single"/>
        </w:rPr>
      </w:pPr>
    </w:p>
    <w:p w:rsidR="0013486C" w:rsidRDefault="0013486C" w:rsidP="00065B06">
      <w:pPr>
        <w:rPr>
          <w:b/>
          <w:sz w:val="24"/>
          <w:szCs w:val="24"/>
          <w:u w:val="single"/>
        </w:rPr>
      </w:pPr>
    </w:p>
    <w:p w:rsidR="0013486C" w:rsidRDefault="0013486C" w:rsidP="00065B06">
      <w:pPr>
        <w:rPr>
          <w:b/>
          <w:sz w:val="24"/>
          <w:szCs w:val="24"/>
          <w:u w:val="single"/>
        </w:rPr>
      </w:pPr>
    </w:p>
    <w:sectPr w:rsidR="0013486C" w:rsidSect="00611B30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06"/>
    <w:rsid w:val="0005590E"/>
    <w:rsid w:val="00065B06"/>
    <w:rsid w:val="0013486C"/>
    <w:rsid w:val="001B3BA3"/>
    <w:rsid w:val="00323939"/>
    <w:rsid w:val="0057661E"/>
    <w:rsid w:val="005A4516"/>
    <w:rsid w:val="00611B30"/>
    <w:rsid w:val="00660F96"/>
    <w:rsid w:val="007620BF"/>
    <w:rsid w:val="007C6CC2"/>
    <w:rsid w:val="00857304"/>
    <w:rsid w:val="00994821"/>
    <w:rsid w:val="00A223F4"/>
    <w:rsid w:val="00A42A45"/>
    <w:rsid w:val="00AF7289"/>
    <w:rsid w:val="00B80ACF"/>
    <w:rsid w:val="00B8536A"/>
    <w:rsid w:val="00BD4B24"/>
    <w:rsid w:val="00C00383"/>
    <w:rsid w:val="00D353BB"/>
    <w:rsid w:val="00DE33A5"/>
    <w:rsid w:val="00FD5F9B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CARMENCHUS</cp:lastModifiedBy>
  <cp:revision>16</cp:revision>
  <cp:lastPrinted>2019-01-16T21:43:00Z</cp:lastPrinted>
  <dcterms:created xsi:type="dcterms:W3CDTF">2017-12-19T03:48:00Z</dcterms:created>
  <dcterms:modified xsi:type="dcterms:W3CDTF">2019-01-16T21:48:00Z</dcterms:modified>
</cp:coreProperties>
</file>