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5D93" w:rsidRDefault="00712B65">
      <w:pPr>
        <w:spacing w:before="0" w:after="0"/>
        <w:ind w:left="0" w:right="0"/>
        <w:contextualSpacing w:val="0"/>
      </w:pPr>
      <w:r>
        <w:rPr>
          <w:b/>
          <w:sz w:val="48"/>
        </w:rPr>
        <w:t>Integration Matrix</w:t>
      </w:r>
    </w:p>
    <w:p w:rsidR="00705D93" w:rsidRDefault="00705D93">
      <w:pPr>
        <w:spacing w:before="0" w:after="0"/>
        <w:ind w:left="0" w:right="0"/>
        <w:contextualSpacing w:val="0"/>
      </w:pPr>
    </w:p>
    <w:p w:rsidR="00705D93" w:rsidRDefault="00712B65">
      <w:pPr>
        <w:spacing w:before="0" w:after="0"/>
        <w:ind w:left="0" w:right="0"/>
        <w:contextualSpacing w:val="0"/>
      </w:pPr>
      <w:r>
        <w:rPr>
          <w:b/>
        </w:rPr>
        <w:t>Unit/Theme:</w:t>
      </w:r>
    </w:p>
    <w:p w:rsidR="00705D93" w:rsidRDefault="00705D93">
      <w:pPr>
        <w:spacing w:before="0" w:after="0"/>
        <w:ind w:left="0" w:right="0"/>
        <w:contextualSpacing w:val="0"/>
      </w:pPr>
    </w:p>
    <w:p w:rsidR="00705D93" w:rsidRDefault="00712B65">
      <w:pPr>
        <w:spacing w:before="0" w:after="0"/>
        <w:ind w:left="0" w:right="0"/>
        <w:contextualSpacing w:val="0"/>
      </w:pPr>
      <w:r>
        <w:rPr>
          <w:b/>
          <w:i/>
          <w:sz w:val="20"/>
        </w:rPr>
        <w:t>Unit Questions:</w:t>
      </w:r>
    </w:p>
    <w:p w:rsidR="00705D93" w:rsidRDefault="00705D93">
      <w:pPr>
        <w:spacing w:before="0" w:after="0"/>
        <w:ind w:left="0" w:right="0"/>
        <w:contextualSpacing w:val="0"/>
      </w:pPr>
      <w:bookmarkStart w:id="0" w:name="_GoBack"/>
      <w:bookmarkEnd w:id="0"/>
    </w:p>
    <w:tbl>
      <w:tblPr>
        <w:tblStyle w:val="a"/>
        <w:tblW w:w="10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350"/>
        <w:gridCol w:w="1440"/>
        <w:gridCol w:w="1440"/>
        <w:gridCol w:w="1350"/>
        <w:gridCol w:w="1620"/>
        <w:gridCol w:w="1575"/>
      </w:tblGrid>
      <w:tr w:rsidR="00705D93" w:rsidTr="00712B65">
        <w:trPr>
          <w:trHeight w:val="240"/>
        </w:trPr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Bloom’s Taxonomy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proofErr w:type="spellStart"/>
            <w:r>
              <w:rPr>
                <w:b/>
                <w:sz w:val="20"/>
              </w:rPr>
              <w:t>Compre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proofErr w:type="spellStart"/>
            <w:r>
              <w:rPr>
                <w:b/>
                <w:sz w:val="20"/>
              </w:rPr>
              <w:t>hension</w:t>
            </w:r>
            <w:proofErr w:type="spellEnd"/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Application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Synthesis</w:t>
            </w:r>
          </w:p>
        </w:tc>
      </w:tr>
      <w:tr w:rsidR="00705D93" w:rsidTr="00712B65">
        <w:trPr>
          <w:trHeight w:val="1820"/>
        </w:trPr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115" w:after="115"/>
              <w:ind w:left="0" w:right="0"/>
              <w:contextualSpacing w:val="0"/>
            </w:pPr>
          </w:p>
          <w:p w:rsidR="00705D93" w:rsidRDefault="00705D93">
            <w:pPr>
              <w:spacing w:before="0" w:after="115"/>
              <w:ind w:left="0" w:right="0"/>
              <w:contextualSpacing w:val="0"/>
            </w:pPr>
          </w:p>
          <w:p w:rsidR="00705D93" w:rsidRDefault="00705D93">
            <w:pPr>
              <w:spacing w:before="0" w:after="115"/>
              <w:ind w:left="0" w:right="0"/>
              <w:contextualSpacing w:val="0"/>
            </w:pPr>
          </w:p>
          <w:p w:rsidR="00705D93" w:rsidRDefault="00705D93">
            <w:pPr>
              <w:spacing w:before="0" w:after="115"/>
              <w:ind w:left="0" w:right="0"/>
              <w:contextualSpacing w:val="0"/>
            </w:pP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Gardner’s Multiple Intelligences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86" w:after="0"/>
              <w:ind w:left="0" w:right="0"/>
              <w:contextualSpacing w:val="0"/>
            </w:pPr>
            <w:r>
              <w:rPr>
                <w:i/>
                <w:sz w:val="16"/>
              </w:rPr>
              <w:t>tell, list, define, label, recite, memorize, repeat, find, name, record, fill in, recall, relate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86" w:after="0"/>
              <w:ind w:left="0" w:right="0"/>
              <w:contextualSpacing w:val="0"/>
            </w:pPr>
            <w:r>
              <w:rPr>
                <w:i/>
                <w:sz w:val="16"/>
              </w:rPr>
              <w:t>locate, explain, summarize, identify, describe, report, discuss, review, paraphrase, restate, retell, show, outline, rewrite</w:t>
            </w: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86" w:after="0"/>
              <w:ind w:left="0" w:right="0"/>
              <w:contextualSpacing w:val="0"/>
            </w:pPr>
            <w:r>
              <w:rPr>
                <w:i/>
                <w:sz w:val="16"/>
              </w:rPr>
              <w:t>demonstrate, construct, record, us</w:t>
            </w:r>
            <w:r>
              <w:rPr>
                <w:i/>
                <w:sz w:val="16"/>
              </w:rPr>
              <w:t>e, diagram, revise, reformat, illustrate, interpret, dramatize, practice, organize, translate, manipulate, convert, adapt, research, calculate, operate, model, order, display, implement, sequence, integrate, incorporate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86" w:after="0"/>
              <w:ind w:left="0" w:right="0"/>
              <w:contextualSpacing w:val="0"/>
            </w:pPr>
            <w:r>
              <w:rPr>
                <w:i/>
                <w:sz w:val="16"/>
              </w:rPr>
              <w:t>compare, contrast, classify, critiqu</w:t>
            </w:r>
            <w:r>
              <w:rPr>
                <w:i/>
                <w:sz w:val="16"/>
              </w:rPr>
              <w:t>e, categorize, solve, deduce, examine, differentiate, appraise, distinguish, experiment, question, investigate, categorize, infer</w:t>
            </w: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86" w:after="0"/>
              <w:ind w:left="0" w:right="0"/>
              <w:contextualSpacing w:val="0"/>
            </w:pPr>
            <w:r>
              <w:rPr>
                <w:i/>
                <w:sz w:val="16"/>
              </w:rPr>
              <w:t>judge, predict, verify, assess, justify, rate, prioritize, determine, select, decide, value, choose, forecast, estimate</w:t>
            </w:r>
          </w:p>
        </w:tc>
        <w:tc>
          <w:tcPr>
            <w:tcW w:w="1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i/>
                <w:sz w:val="16"/>
              </w:rPr>
              <w:t>compos</w:t>
            </w:r>
            <w:r>
              <w:rPr>
                <w:i/>
                <w:sz w:val="16"/>
              </w:rPr>
              <w:t>e, hypothesize,</w:t>
            </w:r>
          </w:p>
          <w:p w:rsidR="00705D93" w:rsidRDefault="00712B65">
            <w:pPr>
              <w:spacing w:before="86" w:after="86"/>
              <w:ind w:left="0" w:right="0"/>
              <w:contextualSpacing w:val="0"/>
            </w:pPr>
            <w:r>
              <w:rPr>
                <w:i/>
                <w:sz w:val="16"/>
              </w:rPr>
              <w:t>design, formulate, create, invent, develop, refine, produce, transform</w:t>
            </w: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0"/>
              <w:ind w:left="0" w:right="0"/>
              <w:contextualSpacing w:val="0"/>
            </w:pPr>
          </w:p>
        </w:tc>
      </w:tr>
      <w:tr w:rsidR="00705D93" w:rsidTr="00712B65">
        <w:trPr>
          <w:trHeight w:val="1520"/>
        </w:trPr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Verbal/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Linguistic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poetry, debate, storytelling, essay, checklist, journal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86"/>
              <w:ind w:left="0" w:right="0"/>
              <w:contextualSpacing w:val="0"/>
            </w:pPr>
          </w:p>
          <w:p w:rsidR="00705D93" w:rsidRDefault="00705D93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  <w:tr w:rsidR="00705D93" w:rsidTr="00712B65">
        <w:trPr>
          <w:trHeight w:val="1380"/>
        </w:trPr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Visual/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Spatial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drawing, model, poster, photograph, storyboard, illustration, board game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  <w:tr w:rsidR="00705D93" w:rsidTr="00712B65">
        <w:trPr>
          <w:trHeight w:val="1920"/>
        </w:trPr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Logical/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Mathematical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diagram, outline, timeline, chart, critique, graph</w:t>
            </w: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6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</w:tbl>
    <w:p w:rsidR="00705D93" w:rsidRDefault="00705D93">
      <w:pPr>
        <w:spacing w:before="0" w:after="0"/>
        <w:ind w:left="0" w:right="0"/>
        <w:contextualSpacing w:val="0"/>
        <w:jc w:val="right"/>
      </w:pPr>
    </w:p>
    <w:p w:rsidR="00705D93" w:rsidRDefault="00705D93">
      <w:pPr>
        <w:spacing w:before="0" w:after="0"/>
        <w:ind w:left="0" w:right="-719" w:hanging="89"/>
        <w:contextualSpacing w:val="0"/>
      </w:pPr>
    </w:p>
    <w:tbl>
      <w:tblPr>
        <w:tblStyle w:val="a0"/>
        <w:tblW w:w="10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395"/>
        <w:gridCol w:w="1305"/>
        <w:gridCol w:w="1530"/>
        <w:gridCol w:w="1380"/>
        <w:gridCol w:w="1455"/>
        <w:gridCol w:w="1755"/>
      </w:tblGrid>
      <w:tr w:rsidR="00705D93">
        <w:trPr>
          <w:trHeight w:val="24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Bloom’s Taxonomy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Knowledge</w:t>
            </w: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Comprehension</w:t>
            </w: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Application</w:t>
            </w: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Evaluation</w:t>
            </w: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101" w:after="0"/>
              <w:ind w:left="0" w:right="0"/>
              <w:contextualSpacing w:val="0"/>
              <w:jc w:val="center"/>
            </w:pPr>
            <w:r>
              <w:rPr>
                <w:b/>
                <w:sz w:val="20"/>
              </w:rPr>
              <w:t>Synthesis</w:t>
            </w:r>
          </w:p>
        </w:tc>
      </w:tr>
      <w:tr w:rsidR="00705D93">
        <w:trPr>
          <w:trHeight w:val="168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Naturalist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classification, collection, solution to problem, display, observation, forecast, investigation, simulation, exhibit, identification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86"/>
              <w:ind w:left="0" w:right="0"/>
              <w:contextualSpacing w:val="0"/>
            </w:pP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86"/>
              <w:ind w:left="0" w:right="0"/>
              <w:contextualSpacing w:val="0"/>
            </w:pPr>
          </w:p>
          <w:p w:rsidR="00705D93" w:rsidRDefault="00705D93">
            <w:pPr>
              <w:spacing w:before="0" w:after="0"/>
              <w:ind w:left="0" w:right="0"/>
              <w:contextualSpacing w:val="0"/>
            </w:pPr>
          </w:p>
        </w:tc>
      </w:tr>
      <w:tr w:rsidR="00705D93">
        <w:trPr>
          <w:trHeight w:val="168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Musical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sz w:val="16"/>
              </w:rPr>
              <w:t>song, rap, lyrics, composition,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jingle/slogan, melody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  <w:tr w:rsidR="00705D93">
        <w:trPr>
          <w:trHeight w:val="168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Bodily/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Kinesthetic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role play, skit, pantomime, dance, invention, lab, improvisation, prototype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  <w:tr w:rsidR="00705D93">
        <w:trPr>
          <w:trHeight w:val="168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Intrapersonal</w:t>
            </w:r>
          </w:p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sz w:val="16"/>
              </w:rPr>
              <w:t>journal, log, goal statement, belief statement,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self-assessment, editorial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86"/>
              <w:ind w:left="0" w:right="0"/>
              <w:contextualSpacing w:val="0"/>
            </w:pPr>
          </w:p>
          <w:p w:rsidR="00705D93" w:rsidRDefault="00705D93">
            <w:pPr>
              <w:spacing w:before="0" w:after="0"/>
              <w:ind w:left="0" w:right="0"/>
              <w:contextualSpacing w:val="0"/>
            </w:pP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  <w:tr w:rsidR="00705D93">
        <w:trPr>
          <w:trHeight w:val="1680"/>
        </w:trPr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12B65">
            <w:pPr>
              <w:spacing w:before="0" w:after="0"/>
              <w:ind w:left="0" w:right="0"/>
              <w:contextualSpacing w:val="0"/>
            </w:pPr>
            <w:r>
              <w:rPr>
                <w:b/>
                <w:i/>
                <w:sz w:val="20"/>
              </w:rPr>
              <w:t>Interpersonal</w:t>
            </w:r>
          </w:p>
          <w:p w:rsidR="00705D93" w:rsidRDefault="00712B65">
            <w:pPr>
              <w:spacing w:before="115" w:after="0"/>
              <w:ind w:left="0" w:right="0"/>
              <w:contextualSpacing w:val="0"/>
            </w:pPr>
            <w:r>
              <w:rPr>
                <w:sz w:val="16"/>
              </w:rPr>
              <w:t>discussion, roundtable, service learning, conversation, group activity, position statement, interview</w:t>
            </w:r>
          </w:p>
        </w:tc>
        <w:tc>
          <w:tcPr>
            <w:tcW w:w="13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5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3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4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  <w:tc>
          <w:tcPr>
            <w:tcW w:w="1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05D93" w:rsidRDefault="00705D93">
            <w:pPr>
              <w:spacing w:before="86" w:after="0"/>
              <w:ind w:left="0" w:right="0"/>
              <w:contextualSpacing w:val="0"/>
            </w:pPr>
          </w:p>
        </w:tc>
      </w:tr>
    </w:tbl>
    <w:p w:rsidR="00705D93" w:rsidRDefault="00705D93">
      <w:pPr>
        <w:spacing w:before="0" w:after="0"/>
        <w:ind w:left="0" w:right="0"/>
        <w:contextualSpacing w:val="0"/>
      </w:pPr>
    </w:p>
    <w:p w:rsidR="00705D93" w:rsidRDefault="00712B65">
      <w:pPr>
        <w:spacing w:before="0" w:after="0"/>
        <w:ind w:left="0" w:right="0"/>
        <w:contextualSpacing w:val="0"/>
      </w:pPr>
      <w:r>
        <w:rPr>
          <w:sz w:val="16"/>
        </w:rPr>
        <w:t xml:space="preserve">From </w:t>
      </w:r>
      <w:r>
        <w:rPr>
          <w:i/>
          <w:sz w:val="16"/>
        </w:rPr>
        <w:t>Differentiating Instruction in the Regular Classroom: How to Reach and Teach All Learners, Grades 3–12</w:t>
      </w:r>
      <w:r>
        <w:rPr>
          <w:sz w:val="16"/>
        </w:rPr>
        <w:t xml:space="preserve"> by Diane </w:t>
      </w:r>
      <w:proofErr w:type="spellStart"/>
      <w:r>
        <w:rPr>
          <w:sz w:val="16"/>
        </w:rPr>
        <w:t>Heacox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Ed.D</w:t>
      </w:r>
      <w:proofErr w:type="spellEnd"/>
      <w:r>
        <w:rPr>
          <w:sz w:val="16"/>
        </w:rPr>
        <w:t xml:space="preserve">., copyright © 2002. Free Spirit Publishing Inc., Minneapolis, MN; 800/735-7323; </w:t>
      </w:r>
      <w:r>
        <w:rPr>
          <w:i/>
          <w:sz w:val="16"/>
        </w:rPr>
        <w:t>www.freespirit.com.</w:t>
      </w:r>
      <w:r>
        <w:rPr>
          <w:sz w:val="16"/>
        </w:rPr>
        <w:t xml:space="preserve"> This page may be photocopied or printed for individual or classroom work only. Since Free Spirit Publishing allows educators to adapt</w:t>
      </w:r>
      <w:r>
        <w:rPr>
          <w:sz w:val="16"/>
        </w:rPr>
        <w:t xml:space="preserve"> this form to their needs, it may have been modified from its original format and content.</w:t>
      </w:r>
    </w:p>
    <w:sectPr w:rsidR="00705D93">
      <w:pgSz w:w="12240" w:h="15840"/>
      <w:pgMar w:top="1440" w:right="144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93"/>
    <w:rsid w:val="00705D93"/>
    <w:rsid w:val="007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75D45-2B00-4C6C-8FCC-36353357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90" w:after="90"/>
        <w:ind w:left="90" w:right="9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ind w:left="0" w:right="0"/>
      <w:outlineLvl w:val="0"/>
    </w:pPr>
    <w:rPr>
      <w:sz w:val="36"/>
    </w:rPr>
  </w:style>
  <w:style w:type="paragraph" w:styleId="Heading2">
    <w:name w:val="heading 2"/>
    <w:basedOn w:val="Normal"/>
    <w:next w:val="Normal"/>
    <w:pPr>
      <w:spacing w:before="225" w:after="225"/>
      <w:ind w:left="0" w:right="0"/>
      <w:outlineLvl w:val="1"/>
    </w:pPr>
    <w:rPr>
      <w:sz w:val="28"/>
    </w:rPr>
  </w:style>
  <w:style w:type="paragraph" w:styleId="Heading3">
    <w:name w:val="heading 3"/>
    <w:basedOn w:val="Normal"/>
    <w:next w:val="Normal"/>
    <w:pPr>
      <w:spacing w:before="240" w:after="240"/>
      <w:ind w:left="0" w:right="0"/>
      <w:outlineLvl w:val="2"/>
    </w:pPr>
  </w:style>
  <w:style w:type="paragraph" w:styleId="Heading4">
    <w:name w:val="heading 4"/>
    <w:basedOn w:val="Normal"/>
    <w:next w:val="Normal"/>
    <w:pPr>
      <w:spacing w:before="255" w:after="255"/>
      <w:ind w:left="0" w:right="0"/>
      <w:outlineLvl w:val="3"/>
    </w:pPr>
    <w:rPr>
      <w:sz w:val="20"/>
    </w:rPr>
  </w:style>
  <w:style w:type="paragraph" w:styleId="Heading5">
    <w:name w:val="heading 5"/>
    <w:basedOn w:val="Normal"/>
    <w:next w:val="Normal"/>
    <w:pPr>
      <w:spacing w:before="255" w:after="255"/>
      <w:ind w:left="0" w:right="0"/>
      <w:outlineLvl w:val="4"/>
    </w:pPr>
    <w:rPr>
      <w:sz w:val="16"/>
    </w:rPr>
  </w:style>
  <w:style w:type="paragraph" w:styleId="Heading6">
    <w:name w:val="heading 6"/>
    <w:basedOn w:val="Normal"/>
    <w:next w:val="Normal"/>
    <w:pPr>
      <w:spacing w:before="360" w:after="360"/>
      <w:ind w:left="0" w:right="0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0"/>
    </w:pPr>
    <w:rPr>
      <w:sz w:val="22"/>
    </w:rPr>
  </w:style>
  <w:style w:type="paragraph" w:styleId="Subtitle">
    <w:name w:val="Subtitle"/>
    <w:basedOn w:val="Normal"/>
    <w:next w:val="Normal"/>
    <w:pPr>
      <w:spacing w:before="0" w:after="0"/>
    </w:pPr>
    <w:rPr>
      <w:rFonts w:ascii="Arial" w:eastAsia="Arial" w:hAnsi="Arial" w:cs="Arial"/>
      <w:sz w:val="22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integration matrix.docx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integration matrix.docx</dc:title>
  <dc:creator>Jason McIntosh</dc:creator>
  <cp:lastModifiedBy>Jason McIntosh</cp:lastModifiedBy>
  <cp:revision>2</cp:revision>
  <dcterms:created xsi:type="dcterms:W3CDTF">2014-12-12T17:42:00Z</dcterms:created>
  <dcterms:modified xsi:type="dcterms:W3CDTF">2014-12-12T17:42:00Z</dcterms:modified>
</cp:coreProperties>
</file>