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8C" w:rsidRPr="00B0304D" w:rsidRDefault="002E60BA">
      <w:pPr>
        <w:pStyle w:val="BodyText"/>
        <w:spacing w:before="72"/>
        <w:ind w:left="7483"/>
      </w:pPr>
      <w:bookmarkStart w:id="0" w:name="ixeSelectedRange"/>
      <w:bookmarkEnd w:id="0"/>
      <w:r w:rsidRPr="00B0304D">
        <w:t>8 December 2017</w:t>
      </w:r>
    </w:p>
    <w:p w:rsidR="00AE6D8C" w:rsidRPr="00B0304D" w:rsidRDefault="002E60BA">
      <w:pPr>
        <w:pStyle w:val="Heading1"/>
        <w:spacing w:before="205"/>
        <w:ind w:left="356" w:right="353"/>
        <w:jc w:val="center"/>
      </w:pPr>
      <w:r w:rsidRPr="00B0304D">
        <w:t>JOINT REPORT FROM THE NEGOTIATORS OF THE EUROPEAN UNION AND THE UNITED KINGDOM GOVERNMENT</w:t>
      </w:r>
    </w:p>
    <w:p w:rsidR="00AE6D8C" w:rsidRPr="00B0304D" w:rsidRDefault="002E60BA">
      <w:pPr>
        <w:spacing w:before="198"/>
        <w:ind w:left="356" w:right="353"/>
        <w:jc w:val="center"/>
        <w:rPr>
          <w:b/>
          <w:sz w:val="28"/>
        </w:rPr>
      </w:pPr>
      <w:r w:rsidRPr="00B0304D">
        <w:rPr>
          <w:b/>
          <w:sz w:val="28"/>
        </w:rPr>
        <w:t>ON PROGRESS DURING PHASE 1 OF NEGOTIATIONS UNDER ARTICLE 50 TEU ON THE UNITED KINGDOM'S ORDERLY WITHDRAWAL FROM THE EUROPEAN UNION</w:t>
      </w:r>
    </w:p>
    <w:p w:rsidR="00AE6D8C" w:rsidRPr="00B0304D" w:rsidRDefault="00AE6D8C">
      <w:pPr>
        <w:pStyle w:val="BodyText"/>
        <w:rPr>
          <w:b/>
          <w:sz w:val="30"/>
        </w:rPr>
      </w:pPr>
    </w:p>
    <w:p w:rsidR="00AE6D8C" w:rsidRPr="00B0304D" w:rsidRDefault="00AE6D8C">
      <w:pPr>
        <w:pStyle w:val="BodyText"/>
        <w:spacing w:before="3"/>
        <w:rPr>
          <w:b/>
          <w:sz w:val="28"/>
        </w:rPr>
      </w:pPr>
    </w:p>
    <w:p w:rsidR="00AE6D8C" w:rsidRPr="00B0304D" w:rsidRDefault="002E60BA">
      <w:pPr>
        <w:pStyle w:val="ListParagraph"/>
        <w:numPr>
          <w:ilvl w:val="0"/>
          <w:numId w:val="1"/>
        </w:numPr>
        <w:tabs>
          <w:tab w:val="left" w:pos="837"/>
        </w:tabs>
        <w:ind w:right="112"/>
        <w:jc w:val="both"/>
        <w:rPr>
          <w:sz w:val="24"/>
        </w:rPr>
      </w:pPr>
      <w:r w:rsidRPr="00B0304D">
        <w:rPr>
          <w:sz w:val="24"/>
        </w:rPr>
        <w:t xml:space="preserve">This report, presented jointly by the negotiators of the European Union (Union) and the United Kingdom of Great Britain and Northern Ireland (UK), records the progress made in the first phase of negotiations under Article 50 of the Treaty </w:t>
      </w:r>
      <w:r w:rsidRPr="00B0304D">
        <w:rPr>
          <w:spacing w:val="3"/>
          <w:sz w:val="24"/>
        </w:rPr>
        <w:t xml:space="preserve">on </w:t>
      </w:r>
      <w:r w:rsidRPr="00B0304D">
        <w:rPr>
          <w:sz w:val="24"/>
        </w:rPr>
        <w:t>European Union (TEU) on the UK's orderly withdrawal from the</w:t>
      </w:r>
      <w:r w:rsidRPr="00B0304D">
        <w:rPr>
          <w:spacing w:val="-5"/>
          <w:sz w:val="24"/>
        </w:rPr>
        <w:t xml:space="preserve"> </w:t>
      </w:r>
      <w:r w:rsidRPr="00B0304D">
        <w:rPr>
          <w:sz w:val="24"/>
        </w:rPr>
        <w:t>Union.</w:t>
      </w:r>
    </w:p>
    <w:p w:rsidR="00AE6D8C" w:rsidRPr="00B0304D" w:rsidRDefault="00AE6D8C">
      <w:pPr>
        <w:pStyle w:val="BodyText"/>
      </w:pPr>
    </w:p>
    <w:p w:rsidR="00AE6D8C" w:rsidRPr="00B0304D" w:rsidRDefault="002E60BA">
      <w:pPr>
        <w:pStyle w:val="ListParagraph"/>
        <w:numPr>
          <w:ilvl w:val="0"/>
          <w:numId w:val="1"/>
        </w:numPr>
        <w:tabs>
          <w:tab w:val="left" w:pos="837"/>
        </w:tabs>
        <w:ind w:right="116"/>
        <w:jc w:val="both"/>
        <w:rPr>
          <w:sz w:val="24"/>
        </w:rPr>
      </w:pPr>
      <w:r w:rsidRPr="00B0304D">
        <w:rPr>
          <w:sz w:val="24"/>
        </w:rPr>
        <w:t>Both Parties have reached agreement in principle across the following three areas under consideration in the first phase of negotiations, on which further detail is set out in this</w:t>
      </w:r>
      <w:r w:rsidRPr="00B0304D">
        <w:rPr>
          <w:spacing w:val="-2"/>
          <w:sz w:val="24"/>
        </w:rPr>
        <w:t xml:space="preserve"> </w:t>
      </w:r>
      <w:r w:rsidRPr="00B0304D">
        <w:rPr>
          <w:sz w:val="24"/>
        </w:rPr>
        <w:t>report:</w:t>
      </w:r>
    </w:p>
    <w:p w:rsidR="00AE6D8C" w:rsidRPr="00B0304D" w:rsidRDefault="002E60BA">
      <w:pPr>
        <w:pStyle w:val="ListParagraph"/>
        <w:numPr>
          <w:ilvl w:val="1"/>
          <w:numId w:val="1"/>
        </w:numPr>
        <w:tabs>
          <w:tab w:val="left" w:pos="1557"/>
        </w:tabs>
        <w:ind w:right="0"/>
        <w:rPr>
          <w:sz w:val="24"/>
        </w:rPr>
      </w:pPr>
      <w:r w:rsidRPr="00B0304D">
        <w:rPr>
          <w:sz w:val="24"/>
        </w:rPr>
        <w:t>protecting the rights of Union citizens in the UK and UK citizens in the</w:t>
      </w:r>
      <w:r w:rsidRPr="00B0304D">
        <w:rPr>
          <w:spacing w:val="-11"/>
          <w:sz w:val="24"/>
        </w:rPr>
        <w:t xml:space="preserve"> </w:t>
      </w:r>
      <w:r w:rsidRPr="00B0304D">
        <w:rPr>
          <w:sz w:val="24"/>
        </w:rPr>
        <w:t>Union;</w:t>
      </w:r>
    </w:p>
    <w:p w:rsidR="00AE6D8C" w:rsidRPr="00B0304D" w:rsidRDefault="002E60BA">
      <w:pPr>
        <w:pStyle w:val="ListParagraph"/>
        <w:numPr>
          <w:ilvl w:val="1"/>
          <w:numId w:val="1"/>
        </w:numPr>
        <w:tabs>
          <w:tab w:val="left" w:pos="1557"/>
        </w:tabs>
        <w:rPr>
          <w:sz w:val="24"/>
        </w:rPr>
      </w:pPr>
      <w:r w:rsidRPr="00B0304D">
        <w:rPr>
          <w:sz w:val="24"/>
        </w:rPr>
        <w:t>the framework for addressing the unique circumstances in Northern Ireland; and</w:t>
      </w:r>
    </w:p>
    <w:p w:rsidR="00AE6D8C" w:rsidRPr="00B0304D" w:rsidRDefault="002E60BA">
      <w:pPr>
        <w:pStyle w:val="ListParagraph"/>
        <w:numPr>
          <w:ilvl w:val="1"/>
          <w:numId w:val="1"/>
        </w:numPr>
        <w:tabs>
          <w:tab w:val="left" w:pos="1557"/>
        </w:tabs>
        <w:ind w:right="0"/>
        <w:rPr>
          <w:sz w:val="24"/>
        </w:rPr>
      </w:pPr>
      <w:r w:rsidRPr="00B0304D">
        <w:rPr>
          <w:sz w:val="24"/>
        </w:rPr>
        <w:t>the financial</w:t>
      </w:r>
      <w:r w:rsidRPr="00B0304D">
        <w:rPr>
          <w:spacing w:val="-7"/>
          <w:sz w:val="24"/>
        </w:rPr>
        <w:t xml:space="preserve"> </w:t>
      </w:r>
      <w:r w:rsidRPr="00B0304D">
        <w:rPr>
          <w:sz w:val="24"/>
        </w:rPr>
        <w:t>settlement.</w:t>
      </w:r>
    </w:p>
    <w:p w:rsidR="00AE6D8C" w:rsidRPr="00B0304D" w:rsidRDefault="00AE6D8C">
      <w:pPr>
        <w:pStyle w:val="BodyText"/>
      </w:pPr>
    </w:p>
    <w:p w:rsidR="00AE6D8C" w:rsidRPr="00B0304D" w:rsidRDefault="002E60BA">
      <w:pPr>
        <w:pStyle w:val="ListParagraph"/>
        <w:numPr>
          <w:ilvl w:val="0"/>
          <w:numId w:val="1"/>
        </w:numPr>
        <w:tabs>
          <w:tab w:val="left" w:pos="837"/>
        </w:tabs>
        <w:ind w:right="0"/>
        <w:jc w:val="left"/>
        <w:rPr>
          <w:sz w:val="24"/>
        </w:rPr>
      </w:pPr>
      <w:r w:rsidRPr="00B0304D">
        <w:rPr>
          <w:sz w:val="24"/>
        </w:rPr>
        <w:t>Progress was also made in achieving agreement on aspects of other separation</w:t>
      </w:r>
      <w:r w:rsidRPr="00B0304D">
        <w:rPr>
          <w:spacing w:val="-11"/>
          <w:sz w:val="24"/>
        </w:rPr>
        <w:t xml:space="preserve"> </w:t>
      </w:r>
      <w:r w:rsidRPr="00B0304D">
        <w:rPr>
          <w:sz w:val="24"/>
        </w:rPr>
        <w:t>issues.</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jc w:val="both"/>
        <w:rPr>
          <w:sz w:val="24"/>
        </w:rPr>
      </w:pPr>
      <w:r w:rsidRPr="00B0304D">
        <w:rPr>
          <w:sz w:val="24"/>
        </w:rPr>
        <w:t>The positions detailed in this report form a single and coherent package. Agreement in principle has been reached on the package as a whole, as opposed to</w:t>
      </w:r>
      <w:r w:rsidRPr="00B0304D">
        <w:rPr>
          <w:spacing w:val="38"/>
          <w:sz w:val="24"/>
        </w:rPr>
        <w:t xml:space="preserve"> </w:t>
      </w:r>
      <w:r w:rsidRPr="00B0304D">
        <w:rPr>
          <w:sz w:val="24"/>
        </w:rPr>
        <w:t>individual elements.</w:t>
      </w:r>
    </w:p>
    <w:p w:rsidR="00AE6D8C" w:rsidRPr="00B0304D" w:rsidRDefault="00AE6D8C">
      <w:pPr>
        <w:pStyle w:val="BodyText"/>
      </w:pPr>
    </w:p>
    <w:p w:rsidR="00AE6D8C" w:rsidRPr="00B0304D" w:rsidRDefault="002E60BA">
      <w:pPr>
        <w:pStyle w:val="ListParagraph"/>
        <w:numPr>
          <w:ilvl w:val="0"/>
          <w:numId w:val="1"/>
        </w:numPr>
        <w:tabs>
          <w:tab w:val="left" w:pos="837"/>
        </w:tabs>
        <w:ind w:right="113"/>
        <w:jc w:val="both"/>
        <w:rPr>
          <w:sz w:val="24"/>
        </w:rPr>
      </w:pPr>
      <w:r w:rsidRPr="00B0304D">
        <w:rPr>
          <w:sz w:val="24"/>
        </w:rPr>
        <w:t>Under the caveat that nothing is agreed until everything is agreed, the joint commitments set out below in this joint report shall be reflected in the Withdrawal Agreement in full detail. This does not prejudge any adaptations that might be appropriate in case transitional arrangements were to be agreed in the second phase of the negotiations, and is without prejudice to discussions on the framework of the future</w:t>
      </w:r>
      <w:r w:rsidRPr="00B0304D">
        <w:rPr>
          <w:spacing w:val="-2"/>
          <w:sz w:val="24"/>
        </w:rPr>
        <w:t xml:space="preserve"> </w:t>
      </w:r>
      <w:r w:rsidRPr="00B0304D">
        <w:rPr>
          <w:sz w:val="24"/>
        </w:rPr>
        <w:t>relationship.</w:t>
      </w:r>
    </w:p>
    <w:p w:rsidR="00AE6D8C" w:rsidRPr="00B0304D" w:rsidRDefault="00AE6D8C">
      <w:pPr>
        <w:pStyle w:val="BodyText"/>
        <w:rPr>
          <w:sz w:val="26"/>
        </w:rPr>
      </w:pPr>
    </w:p>
    <w:p w:rsidR="00AE6D8C" w:rsidRPr="00B0304D" w:rsidRDefault="00AE6D8C">
      <w:pPr>
        <w:pStyle w:val="BodyText"/>
        <w:spacing w:before="7"/>
        <w:rPr>
          <w:sz w:val="26"/>
        </w:rPr>
      </w:pPr>
      <w:bookmarkStart w:id="1" w:name="idxCitizensRights"/>
      <w:bookmarkStart w:id="2" w:name="ixeTempSelection"/>
      <w:bookmarkStart w:id="3" w:name="ixeXEFieldRange"/>
      <w:bookmarkStart w:id="4" w:name="ixeIndeXExploit"/>
    </w:p>
    <w:p w:rsidR="00AE6D8C" w:rsidRPr="00B0304D" w:rsidRDefault="002E60BA">
      <w:pPr>
        <w:pStyle w:val="Heading1"/>
      </w:pPr>
      <w:bookmarkStart w:id="5" w:name="ixeIndexSelected"/>
      <w:bookmarkStart w:id="6" w:name="ixeIndexRange"/>
      <w:r w:rsidRPr="00B0304D">
        <w:t>Citizens' rights</w:t>
      </w:r>
    </w:p>
    <w:bookmarkStart w:id="7" w:name="ixeCurrentXEField"/>
    <w:p w:rsidR="00AE6D8C" w:rsidRPr="00B0304D" w:rsidRDefault="00B8787A">
      <w:pPr>
        <w:pStyle w:val="ListParagraph"/>
        <w:numPr>
          <w:ilvl w:val="0"/>
          <w:numId w:val="1"/>
        </w:numPr>
        <w:tabs>
          <w:tab w:val="left" w:pos="837"/>
        </w:tabs>
        <w:spacing w:before="192"/>
        <w:ind w:right="113"/>
        <w:jc w:val="both"/>
        <w:rPr>
          <w:sz w:val="24"/>
        </w:rPr>
      </w:pPr>
      <w:r w:rsidRPr="00B0304D">
        <w:rPr>
          <w:sz w:val="24"/>
        </w:rPr>
        <w:fldChar w:fldCharType="begin"/>
      </w:r>
      <w:r w:rsidR="00303B1D" w:rsidRPr="00B0304D">
        <w:instrText xml:space="preserve"> XE </w:instrText>
      </w:r>
      <w:r w:rsidR="00F04BD6" w:rsidRPr="00B0304D">
        <w:instrText>“citizens’</w:instrText>
      </w:r>
      <w:r w:rsidR="00303B1D" w:rsidRPr="00B0304D">
        <w:rPr>
          <w:lang w:val="en-GB"/>
        </w:rPr>
        <w:instrText xml:space="preserve"> rights</w:instrText>
      </w:r>
      <w:r w:rsidR="00303B1D" w:rsidRPr="00B0304D">
        <w:instrText xml:space="preserve">" \r "idxCitizensRights" </w:instrText>
      </w:r>
      <w:r w:rsidRPr="00B0304D">
        <w:rPr>
          <w:sz w:val="24"/>
        </w:rPr>
        <w:fldChar w:fldCharType="end"/>
      </w:r>
      <w:r w:rsidR="002E60BA" w:rsidRPr="00B0304D">
        <w:rPr>
          <w:sz w:val="24"/>
        </w:rPr>
        <w:t xml:space="preserve">The overall objective of the Withdrawal Agreement with respect to citizens' rights </w:t>
      </w:r>
      <w:proofErr w:type="gramStart"/>
      <w:r w:rsidR="002E60BA" w:rsidRPr="00B0304D">
        <w:rPr>
          <w:sz w:val="24"/>
        </w:rPr>
        <w:t xml:space="preserve">is  </w:t>
      </w:r>
      <w:bookmarkEnd w:id="7"/>
      <w:r w:rsidR="002E60BA" w:rsidRPr="00B0304D">
        <w:rPr>
          <w:sz w:val="24"/>
        </w:rPr>
        <w:t>to</w:t>
      </w:r>
      <w:proofErr w:type="gramEnd"/>
      <w:r w:rsidR="002E60BA" w:rsidRPr="00B0304D">
        <w:rPr>
          <w:sz w:val="24"/>
        </w:rPr>
        <w:t xml:space="preserve"> provide reciprocal protection for </w:t>
      </w:r>
      <w:r w:rsidR="002E60BA" w:rsidRPr="00B0304D">
        <w:rPr>
          <w:b/>
          <w:sz w:val="24"/>
        </w:rPr>
        <w:t>Union and UK citizens, to enable the effective exercise of rights derived from Union law and based on past life choices</w:t>
      </w:r>
      <w:r w:rsidR="002E60BA" w:rsidRPr="00B0304D">
        <w:rPr>
          <w:sz w:val="24"/>
        </w:rPr>
        <w:t>, where those citizens have exercised free movement rights by the specified</w:t>
      </w:r>
      <w:r w:rsidR="002E60BA" w:rsidRPr="00B0304D">
        <w:rPr>
          <w:spacing w:val="-13"/>
          <w:sz w:val="24"/>
        </w:rPr>
        <w:t xml:space="preserve"> </w:t>
      </w:r>
      <w:r w:rsidR="002E60BA" w:rsidRPr="00B0304D">
        <w:rPr>
          <w:sz w:val="24"/>
        </w:rPr>
        <w:t>date</w:t>
      </w:r>
      <w:r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:citizens</w:instrText>
      </w:r>
      <w:r w:rsidR="009331FC" w:rsidRPr="00B0304D">
        <w:rPr>
          <w:sz w:val="24"/>
        </w:rPr>
        <w:instrText>’</w:instrText>
      </w:r>
      <w:r w:rsidR="00F35CAE" w:rsidRPr="00B0304D">
        <w:rPr>
          <w:sz w:val="24"/>
        </w:rPr>
        <w:instrText xml:space="preserve"> rights</w:instrText>
      </w:r>
      <w:r w:rsidR="00421C2D" w:rsidRPr="00B0304D">
        <w:instrText xml:space="preserve">" </w:instrText>
      </w:r>
      <w:r w:rsidRPr="00B0304D">
        <w:rPr>
          <w:sz w:val="24"/>
        </w:rPr>
        <w:fldChar w:fldCharType="end"/>
      </w:r>
      <w:r w:rsidR="002E60BA" w:rsidRPr="00B0304D">
        <w:rPr>
          <w:sz w:val="24"/>
        </w:rPr>
        <w:t>.</w:t>
      </w:r>
    </w:p>
    <w:p w:rsidR="00AE6D8C" w:rsidRPr="00B0304D" w:rsidRDefault="00AE6D8C">
      <w:pPr>
        <w:pStyle w:val="BodyText"/>
        <w:spacing w:before="3"/>
        <w:rPr>
          <w:sz w:val="21"/>
        </w:rPr>
      </w:pPr>
    </w:p>
    <w:p w:rsidR="00AE6D8C" w:rsidRPr="00B0304D" w:rsidRDefault="002E60BA">
      <w:pPr>
        <w:pStyle w:val="ListParagraph"/>
        <w:numPr>
          <w:ilvl w:val="0"/>
          <w:numId w:val="1"/>
        </w:numPr>
        <w:tabs>
          <w:tab w:val="left" w:pos="837"/>
        </w:tabs>
        <w:ind w:right="0"/>
        <w:jc w:val="left"/>
        <w:rPr>
          <w:b/>
          <w:sz w:val="16"/>
        </w:rPr>
      </w:pPr>
      <w:r w:rsidRPr="00B0304D">
        <w:rPr>
          <w:b/>
          <w:sz w:val="24"/>
        </w:rPr>
        <w:t>To date, both Parties have reached a common understanding on the</w:t>
      </w:r>
      <w:r w:rsidRPr="00B0304D">
        <w:rPr>
          <w:b/>
          <w:spacing w:val="-16"/>
          <w:sz w:val="24"/>
        </w:rPr>
        <w:t xml:space="preserve"> </w:t>
      </w:r>
      <w:r w:rsidRPr="00B0304D">
        <w:rPr>
          <w:b/>
          <w:sz w:val="24"/>
        </w:rPr>
        <w:t>following.</w:t>
      </w:r>
      <w:r w:rsidRPr="00B0304D">
        <w:rPr>
          <w:b/>
          <w:position w:val="11"/>
          <w:sz w:val="16"/>
        </w:rPr>
        <w:t>1</w:t>
      </w:r>
    </w:p>
    <w:p w:rsidR="00AE6D8C" w:rsidRPr="00B0304D" w:rsidRDefault="00AE6D8C">
      <w:pPr>
        <w:pStyle w:val="BodyText"/>
        <w:spacing w:before="5"/>
        <w:rPr>
          <w:b/>
          <w:sz w:val="23"/>
        </w:rPr>
      </w:pPr>
    </w:p>
    <w:p w:rsidR="00AE6D8C" w:rsidRPr="00B0304D" w:rsidRDefault="002E60BA">
      <w:pPr>
        <w:pStyle w:val="ListParagraph"/>
        <w:numPr>
          <w:ilvl w:val="0"/>
          <w:numId w:val="1"/>
        </w:numPr>
        <w:tabs>
          <w:tab w:val="left" w:pos="837"/>
        </w:tabs>
        <w:spacing w:before="1"/>
        <w:ind w:right="0"/>
        <w:jc w:val="left"/>
        <w:rPr>
          <w:sz w:val="24"/>
        </w:rPr>
      </w:pPr>
      <w:r w:rsidRPr="00B0304D">
        <w:rPr>
          <w:sz w:val="24"/>
        </w:rPr>
        <w:t>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421C2D" w:rsidRPr="00B0304D">
        <w:instrText xml:space="preserve">" </w:instrText>
      </w:r>
      <w:r w:rsidR="00B8787A" w:rsidRPr="00B0304D">
        <w:rPr>
          <w:sz w:val="24"/>
        </w:rPr>
        <w:fldChar w:fldCharType="end"/>
      </w:r>
      <w:r w:rsidR="00B8787A" w:rsidRPr="00B0304D">
        <w:fldChar w:fldCharType="begin"/>
      </w:r>
      <w:r w:rsidR="00421C2D" w:rsidRPr="00B0304D">
        <w:instrText xml:space="preserve"> XE "</w:instrText>
      </w:r>
      <w:r w:rsidR="00421C2D" w:rsidRPr="00B0304D">
        <w:rPr>
          <w:lang w:val="en-GB"/>
        </w:rPr>
        <w:instrText>time of withdrawal</w:instrText>
      </w:r>
      <w:r w:rsidR="00421C2D" w:rsidRPr="00B0304D">
        <w:instrText>" \t "</w:instrText>
      </w:r>
      <w:r w:rsidR="00421C2D" w:rsidRPr="00B0304D">
        <w:rPr>
          <w:rFonts w:asciiTheme="minorHAnsi" w:hAnsiTheme="minorHAnsi" w:cstheme="minorHAnsi"/>
          <w:i/>
        </w:rPr>
        <w:instrText xml:space="preserve">see </w:instrText>
      </w:r>
      <w:r w:rsidR="00421C2D" w:rsidRPr="00B0304D">
        <w:rPr>
          <w:rFonts w:asciiTheme="minorHAnsi" w:hAnsiTheme="minorHAnsi" w:cstheme="minorHAnsi"/>
        </w:rPr>
        <w:instrText>specified date</w:instrText>
      </w:r>
      <w:r w:rsidR="00421C2D" w:rsidRPr="00B0304D">
        <w:instrText xml:space="preserve">" </w:instrText>
      </w:r>
      <w:r w:rsidR="00B8787A" w:rsidRPr="00B0304D">
        <w:fldChar w:fldCharType="end"/>
      </w:r>
      <w:r w:rsidRPr="00B0304D">
        <w:rPr>
          <w:sz w:val="24"/>
        </w:rPr>
        <w:t xml:space="preserve"> should be the time of the UK's</w:t>
      </w:r>
      <w:r w:rsidRPr="00B0304D">
        <w:rPr>
          <w:spacing w:val="-11"/>
          <w:sz w:val="24"/>
        </w:rPr>
        <w:t xml:space="preserve"> </w:t>
      </w:r>
      <w:r w:rsidRPr="00B0304D">
        <w:rPr>
          <w:sz w:val="24"/>
        </w:rPr>
        <w:t>withdrawal.</w:t>
      </w:r>
    </w:p>
    <w:p w:rsidR="00AE6D8C" w:rsidRPr="00B0304D" w:rsidRDefault="00AE6D8C">
      <w:pPr>
        <w:pStyle w:val="BodyText"/>
        <w:spacing w:before="4"/>
        <w:rPr>
          <w:sz w:val="20"/>
        </w:rPr>
      </w:pPr>
    </w:p>
    <w:p w:rsidR="00AE6D8C" w:rsidRPr="00B0304D" w:rsidRDefault="002E60BA">
      <w:pPr>
        <w:spacing w:before="95"/>
        <w:ind w:left="116" w:right="113"/>
        <w:rPr>
          <w:sz w:val="20"/>
        </w:rPr>
      </w:pPr>
      <w:r w:rsidRPr="00B0304D">
        <w:rPr>
          <w:position w:val="9"/>
          <w:sz w:val="13"/>
        </w:rPr>
        <w:t xml:space="preserve">1 </w:t>
      </w:r>
      <w:r w:rsidRPr="00B0304D">
        <w:rPr>
          <w:sz w:val="20"/>
        </w:rPr>
        <w:t>This common understanding is based on a more detailed consensus between the Parties, as expressed in the latest joint technical note that summarises the UK and EU positions.</w:t>
      </w:r>
    </w:p>
    <w:p w:rsidR="00AE6D8C" w:rsidRPr="00B0304D" w:rsidRDefault="00AE6D8C">
      <w:pPr>
        <w:rPr>
          <w:sz w:val="20"/>
        </w:rPr>
        <w:sectPr w:rsidR="00AE6D8C" w:rsidRPr="00B0304D">
          <w:footerReference w:type="default" r:id="rId8"/>
          <w:type w:val="continuous"/>
          <w:pgSz w:w="11910" w:h="16840"/>
          <w:pgMar w:top="1320" w:right="1300" w:bottom="1240" w:left="1300" w:header="720" w:footer="1044" w:gutter="0"/>
          <w:pgNumType w:start="1"/>
          <w:cols w:space="720"/>
        </w:sectPr>
      </w:pPr>
    </w:p>
    <w:p w:rsidR="00AE6D8C" w:rsidRPr="00B0304D" w:rsidRDefault="002E60BA">
      <w:pPr>
        <w:pStyle w:val="ListParagraph"/>
        <w:numPr>
          <w:ilvl w:val="0"/>
          <w:numId w:val="1"/>
        </w:numPr>
        <w:tabs>
          <w:tab w:val="left" w:pos="477"/>
        </w:tabs>
        <w:spacing w:before="86"/>
        <w:ind w:left="476" w:right="117"/>
        <w:jc w:val="both"/>
        <w:rPr>
          <w:sz w:val="24"/>
        </w:rPr>
      </w:pPr>
      <w:r w:rsidRPr="00B0304D">
        <w:rPr>
          <w:sz w:val="24"/>
        </w:rPr>
        <w:lastRenderedPageBreak/>
        <w:t>The use of Union law concepts in the citizens’ rights Part of the Withdrawal Agreement is to be interpreted in line with the case law of the Court of Justice of the European Union (CJEU)</w:t>
      </w:r>
      <w:r w:rsidR="00B8787A" w:rsidRPr="00B0304D">
        <w:rPr>
          <w:sz w:val="24"/>
        </w:rPr>
        <w:fldChar w:fldCharType="begin"/>
      </w:r>
      <w:r w:rsidR="00CD619C" w:rsidRPr="00B0304D">
        <w:instrText xml:space="preserve"> XE "</w:instrText>
      </w:r>
      <w:r w:rsidR="00CD619C" w:rsidRPr="00B0304D">
        <w:rPr>
          <w:sz w:val="24"/>
        </w:rPr>
        <w:instrText>Court of Justice of the European Union (CJEU)</w:instrText>
      </w:r>
      <w:r w:rsidR="00CD619C" w:rsidRPr="00B0304D">
        <w:instrText xml:space="preserve">" </w:instrText>
      </w:r>
      <w:r w:rsidR="00B8787A" w:rsidRPr="00B0304D">
        <w:rPr>
          <w:sz w:val="24"/>
        </w:rPr>
        <w:fldChar w:fldCharType="end"/>
      </w:r>
      <w:r w:rsidRPr="00B0304D">
        <w:rPr>
          <w:sz w:val="24"/>
        </w:rPr>
        <w:t xml:space="preserve"> by the specified</w:t>
      </w:r>
      <w:r w:rsidRPr="00B0304D">
        <w:rPr>
          <w:spacing w:val="-6"/>
          <w:sz w:val="24"/>
        </w:rPr>
        <w:t xml:space="preserve"> </w:t>
      </w:r>
      <w:r w:rsidRPr="00B0304D">
        <w:rPr>
          <w:sz w:val="24"/>
        </w:rPr>
        <w:t>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9331FC" w:rsidRPr="00B0304D">
        <w:rPr>
          <w:sz w:val="24"/>
        </w:rPr>
        <w:instrText>:citizens’ rights</w:instrText>
      </w:r>
      <w:r w:rsidR="00421C2D" w:rsidRPr="00B0304D">
        <w:instrText xml:space="preserve">" </w:instrText>
      </w:r>
      <w:r w:rsidR="00B8787A" w:rsidRPr="00B0304D">
        <w:rPr>
          <w:sz w:val="24"/>
        </w:rPr>
        <w:fldChar w:fldCharType="end"/>
      </w:r>
      <w:r w:rsidRPr="00B0304D">
        <w:rPr>
          <w:sz w:val="24"/>
        </w:rPr>
        <w:t>;</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19"/>
        <w:jc w:val="both"/>
        <w:rPr>
          <w:sz w:val="24"/>
        </w:rPr>
      </w:pPr>
      <w:r w:rsidRPr="00B0304D">
        <w:rPr>
          <w:sz w:val="24"/>
        </w:rPr>
        <w:t>Union citizens who in accordance with Union law legally reside in the UK, and UK nationals who in accordance with Union law legally reside in an EU27 Member State by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:citizens</w:instrText>
      </w:r>
      <w:r w:rsidR="00421C2D" w:rsidRPr="00B0304D">
        <w:instrText xml:space="preserve">" </w:instrText>
      </w:r>
      <w:r w:rsidR="00B8787A" w:rsidRPr="00B0304D">
        <w:rPr>
          <w:sz w:val="24"/>
        </w:rPr>
        <w:fldChar w:fldCharType="end"/>
      </w:r>
      <w:r w:rsidRPr="00B0304D">
        <w:rPr>
          <w:sz w:val="24"/>
        </w:rPr>
        <w:t>, as well as their family members as defined by Directive 2004/38/EC</w:t>
      </w:r>
      <w:r w:rsidR="00B8787A" w:rsidRPr="00B0304D">
        <w:rPr>
          <w:sz w:val="24"/>
        </w:rPr>
        <w:fldChar w:fldCharType="begin"/>
      </w:r>
      <w:r w:rsidR="00CD619C" w:rsidRPr="00B0304D">
        <w:instrText xml:space="preserve"> XE "</w:instrText>
      </w:r>
      <w:r w:rsidR="00CD619C" w:rsidRPr="00B0304D">
        <w:rPr>
          <w:sz w:val="24"/>
        </w:rPr>
        <w:instrText>Directive 2004/38/EC</w:instrText>
      </w:r>
      <w:r w:rsidR="00CD619C" w:rsidRPr="00B0304D">
        <w:instrText xml:space="preserve">" </w:instrText>
      </w:r>
      <w:r w:rsidR="00B8787A" w:rsidRPr="00B0304D">
        <w:rPr>
          <w:sz w:val="24"/>
        </w:rPr>
        <w:fldChar w:fldCharType="end"/>
      </w:r>
      <w:r w:rsidRPr="00B0304D">
        <w:rPr>
          <w:sz w:val="24"/>
        </w:rPr>
        <w:t xml:space="preserve"> who are legally resident in the host State by the specified date, fall within the scope of the Withdrawal Agreement (for personal scope related to frontier  workers, see paragraph 15, and for social security, see paragraph</w:t>
      </w:r>
      <w:r w:rsidRPr="00B0304D">
        <w:rPr>
          <w:spacing w:val="-12"/>
          <w:sz w:val="24"/>
        </w:rPr>
        <w:t xml:space="preserve"> </w:t>
      </w:r>
      <w:r w:rsidRPr="00B0304D">
        <w:rPr>
          <w:sz w:val="24"/>
        </w:rPr>
        <w:t>28);</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16"/>
        <w:jc w:val="both"/>
        <w:rPr>
          <w:sz w:val="24"/>
        </w:rPr>
      </w:pPr>
      <w:r w:rsidRPr="00B0304D">
        <w:rPr>
          <w:sz w:val="24"/>
        </w:rPr>
        <w:t>Within the scope of application of this Part of the Withdrawal Agreement and without prejudice to any special provisions therein, any discrimination</w:t>
      </w:r>
      <w:r w:rsidR="00B8787A" w:rsidRPr="00B0304D">
        <w:rPr>
          <w:sz w:val="24"/>
        </w:rPr>
        <w:fldChar w:fldCharType="begin"/>
      </w:r>
      <w:r w:rsidR="00CD619C" w:rsidRPr="00B0304D">
        <w:instrText xml:space="preserve"> XE </w:instrText>
      </w:r>
      <w:r w:rsidR="00F04BD6" w:rsidRPr="00B0304D">
        <w:instrText>“citizens’</w:instrText>
      </w:r>
      <w:r w:rsidR="004E618B" w:rsidRPr="00B0304D">
        <w:rPr>
          <w:lang w:val="en-GB"/>
        </w:rPr>
        <w:instrText xml:space="preserve"> rights:</w:instrText>
      </w:r>
      <w:r w:rsidR="00CD619C" w:rsidRPr="00B0304D">
        <w:rPr>
          <w:sz w:val="24"/>
        </w:rPr>
        <w:instrText>discrimination</w:instrText>
      </w:r>
      <w:r w:rsidR="00CD619C" w:rsidRPr="00B0304D">
        <w:instrText xml:space="preserve">" </w:instrText>
      </w:r>
      <w:r w:rsidR="00B8787A" w:rsidRPr="00B0304D">
        <w:rPr>
          <w:sz w:val="24"/>
        </w:rPr>
        <w:fldChar w:fldCharType="end"/>
      </w:r>
      <w:r w:rsidRPr="00B0304D">
        <w:rPr>
          <w:sz w:val="24"/>
        </w:rPr>
        <w:t xml:space="preserve"> on grounds of nationality will be prohibited in the host State and the State of work in respect of Union citizens and UK nationals, and their respective family members covered by the Withdrawal</w:t>
      </w:r>
      <w:r w:rsidRPr="00B0304D">
        <w:rPr>
          <w:spacing w:val="-6"/>
          <w:sz w:val="24"/>
        </w:rPr>
        <w:t xml:space="preserve"> </w:t>
      </w:r>
      <w:r w:rsidRPr="00B0304D">
        <w:rPr>
          <w:sz w:val="24"/>
        </w:rPr>
        <w:t>Agreement;</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21"/>
        <w:jc w:val="both"/>
        <w:rPr>
          <w:sz w:val="24"/>
        </w:rPr>
      </w:pPr>
      <w:r w:rsidRPr="00B0304D">
        <w:rPr>
          <w:sz w:val="24"/>
        </w:rPr>
        <w:t>Irrespective of their nationality, the following categories of family members who were not residing in the host State on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:family members</w:instrText>
      </w:r>
      <w:r w:rsidR="00421C2D" w:rsidRPr="00B0304D">
        <w:instrText xml:space="preserve">" </w:instrText>
      </w:r>
      <w:r w:rsidR="00B8787A" w:rsidRPr="00B0304D">
        <w:rPr>
          <w:sz w:val="24"/>
        </w:rPr>
        <w:fldChar w:fldCharType="end"/>
      </w:r>
      <w:r w:rsidRPr="00B0304D">
        <w:rPr>
          <w:sz w:val="24"/>
        </w:rPr>
        <w:t xml:space="preserve"> will be entitled to join a Union citizen or UK national right holder after the specified date for the life time of the right holder, on the same conditions as under current Union</w:t>
      </w:r>
      <w:r w:rsidRPr="00B0304D">
        <w:rPr>
          <w:spacing w:val="-6"/>
          <w:sz w:val="24"/>
        </w:rPr>
        <w:t xml:space="preserve"> </w:t>
      </w:r>
      <w:r w:rsidRPr="00B0304D">
        <w:rPr>
          <w:sz w:val="24"/>
        </w:rPr>
        <w:t>law:</w:t>
      </w:r>
    </w:p>
    <w:p w:rsidR="00AE6D8C" w:rsidRPr="00B0304D" w:rsidRDefault="002E60BA">
      <w:pPr>
        <w:pStyle w:val="ListParagraph"/>
        <w:numPr>
          <w:ilvl w:val="1"/>
          <w:numId w:val="1"/>
        </w:numPr>
        <w:tabs>
          <w:tab w:val="left" w:pos="1197"/>
        </w:tabs>
        <w:ind w:left="1196" w:right="117"/>
        <w:jc w:val="both"/>
        <w:rPr>
          <w:sz w:val="24"/>
        </w:rPr>
      </w:pPr>
      <w:r w:rsidRPr="00B0304D">
        <w:rPr>
          <w:sz w:val="24"/>
        </w:rPr>
        <w:t>all family members</w:t>
      </w:r>
      <w:r w:rsidR="00B8787A" w:rsidRPr="00B0304D">
        <w:rPr>
          <w:sz w:val="24"/>
        </w:rPr>
        <w:fldChar w:fldCharType="begin"/>
      </w:r>
      <w:r w:rsidR="00CD619C" w:rsidRPr="00B0304D">
        <w:instrText xml:space="preserve"> XE </w:instrText>
      </w:r>
      <w:r w:rsidR="00F04BD6" w:rsidRPr="00B0304D">
        <w:instrText>“citizens’</w:instrText>
      </w:r>
      <w:r w:rsidR="004E618B" w:rsidRPr="00B0304D">
        <w:rPr>
          <w:lang w:val="en-GB"/>
        </w:rPr>
        <w:instrText xml:space="preserve"> rights:</w:instrText>
      </w:r>
      <w:r w:rsidR="00CD619C" w:rsidRPr="00B0304D">
        <w:rPr>
          <w:sz w:val="24"/>
        </w:rPr>
        <w:instrText>family members</w:instrText>
      </w:r>
      <w:r w:rsidR="00CD619C" w:rsidRPr="00B0304D">
        <w:instrText xml:space="preserve">" </w:instrText>
      </w:r>
      <w:r w:rsidR="00B8787A" w:rsidRPr="00B0304D">
        <w:rPr>
          <w:sz w:val="24"/>
        </w:rPr>
        <w:fldChar w:fldCharType="end"/>
      </w:r>
      <w:r w:rsidRPr="00B0304D">
        <w:rPr>
          <w:sz w:val="24"/>
        </w:rPr>
        <w:t xml:space="preserve"> as referred to in Article 2 of Directive 2004/38/EC, provided they were related to the right holder on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:family members</w:instrText>
      </w:r>
      <w:r w:rsidR="00421C2D" w:rsidRPr="00B0304D">
        <w:instrText xml:space="preserve">" </w:instrText>
      </w:r>
      <w:r w:rsidR="00B8787A" w:rsidRPr="00B0304D">
        <w:rPr>
          <w:sz w:val="24"/>
        </w:rPr>
        <w:fldChar w:fldCharType="end"/>
      </w:r>
      <w:r w:rsidRPr="00B0304D">
        <w:rPr>
          <w:sz w:val="24"/>
        </w:rPr>
        <w:t xml:space="preserve"> and they continue to be so related at the point they wish to join the right holder;</w:t>
      </w:r>
      <w:r w:rsidRPr="00B0304D">
        <w:rPr>
          <w:spacing w:val="-8"/>
          <w:sz w:val="24"/>
        </w:rPr>
        <w:t xml:space="preserve"> </w:t>
      </w:r>
      <w:r w:rsidRPr="00B0304D">
        <w:rPr>
          <w:sz w:val="24"/>
        </w:rPr>
        <w:t>and</w:t>
      </w:r>
    </w:p>
    <w:p w:rsidR="00AE6D8C" w:rsidRPr="00B0304D" w:rsidRDefault="002E60BA">
      <w:pPr>
        <w:pStyle w:val="ListParagraph"/>
        <w:numPr>
          <w:ilvl w:val="1"/>
          <w:numId w:val="1"/>
        </w:numPr>
        <w:tabs>
          <w:tab w:val="left" w:pos="1197"/>
        </w:tabs>
        <w:ind w:left="1196" w:right="124"/>
        <w:jc w:val="both"/>
        <w:rPr>
          <w:sz w:val="24"/>
        </w:rPr>
      </w:pPr>
      <w:r w:rsidRPr="00B0304D">
        <w:rPr>
          <w:sz w:val="24"/>
        </w:rPr>
        <w:t>children born, or legally adopted</w:t>
      </w:r>
      <w:r w:rsidR="00B8787A" w:rsidRPr="00B0304D">
        <w:rPr>
          <w:sz w:val="24"/>
        </w:rPr>
        <w:fldChar w:fldCharType="begin"/>
      </w:r>
      <w:r w:rsidR="00CD619C" w:rsidRPr="00B0304D">
        <w:instrText xml:space="preserve"> XE </w:instrText>
      </w:r>
      <w:r w:rsidR="00F04BD6" w:rsidRPr="00B0304D">
        <w:instrText>“citizens’</w:instrText>
      </w:r>
      <w:r w:rsidR="004E618B" w:rsidRPr="00B0304D">
        <w:rPr>
          <w:lang w:val="en-GB"/>
        </w:rPr>
        <w:instrText xml:space="preserve"> rights:</w:instrText>
      </w:r>
      <w:r w:rsidR="00CD619C" w:rsidRPr="00B0304D">
        <w:rPr>
          <w:sz w:val="24"/>
        </w:rPr>
        <w:instrText>children</w:instrText>
      </w:r>
      <w:r w:rsidR="00CD619C" w:rsidRPr="00B0304D">
        <w:instrText xml:space="preserve">" </w:instrText>
      </w:r>
      <w:r w:rsidR="00B8787A" w:rsidRPr="00B0304D">
        <w:rPr>
          <w:sz w:val="24"/>
        </w:rPr>
        <w:fldChar w:fldCharType="end"/>
      </w:r>
      <w:r w:rsidRPr="00B0304D">
        <w:rPr>
          <w:sz w:val="24"/>
        </w:rPr>
        <w:t>, after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:children</w:instrText>
      </w:r>
      <w:r w:rsidR="00421C2D" w:rsidRPr="00B0304D">
        <w:instrText xml:space="preserve">" </w:instrText>
      </w:r>
      <w:r w:rsidR="00B8787A" w:rsidRPr="00B0304D">
        <w:rPr>
          <w:sz w:val="24"/>
        </w:rPr>
        <w:fldChar w:fldCharType="end"/>
      </w:r>
      <w:r w:rsidRPr="00B0304D">
        <w:rPr>
          <w:sz w:val="24"/>
        </w:rPr>
        <w:t>, whether inside or outside the host State,</w:t>
      </w:r>
      <w:r w:rsidRPr="00B0304D">
        <w:rPr>
          <w:spacing w:val="-6"/>
          <w:sz w:val="24"/>
        </w:rPr>
        <w:t xml:space="preserve"> </w:t>
      </w:r>
      <w:r w:rsidRPr="00B0304D">
        <w:rPr>
          <w:sz w:val="24"/>
        </w:rPr>
        <w:t>where:</w:t>
      </w:r>
    </w:p>
    <w:p w:rsidR="00AE6D8C" w:rsidRPr="00B0304D" w:rsidRDefault="002E60BA">
      <w:pPr>
        <w:pStyle w:val="ListParagraph"/>
        <w:numPr>
          <w:ilvl w:val="2"/>
          <w:numId w:val="1"/>
        </w:numPr>
        <w:tabs>
          <w:tab w:val="left" w:pos="1917"/>
        </w:tabs>
        <w:ind w:right="115" w:hanging="307"/>
        <w:jc w:val="both"/>
        <w:rPr>
          <w:sz w:val="24"/>
        </w:rPr>
      </w:pPr>
      <w:r w:rsidRPr="00B0304D">
        <w:rPr>
          <w:sz w:val="24"/>
        </w:rPr>
        <w:t>the child is born to, or legally adopted by, parents who are both protected by the Withdrawal Agreement or where one parent is protected by the Withdrawal Agreement and the other is a national of the host State;</w:t>
      </w:r>
      <w:r w:rsidRPr="00B0304D">
        <w:rPr>
          <w:spacing w:val="-2"/>
          <w:sz w:val="24"/>
        </w:rPr>
        <w:t xml:space="preserve"> </w:t>
      </w:r>
      <w:r w:rsidRPr="00B0304D">
        <w:rPr>
          <w:sz w:val="24"/>
        </w:rPr>
        <w:t>or</w:t>
      </w:r>
    </w:p>
    <w:p w:rsidR="00AE6D8C" w:rsidRPr="00B0304D" w:rsidRDefault="002E60BA">
      <w:pPr>
        <w:pStyle w:val="ListParagraph"/>
        <w:numPr>
          <w:ilvl w:val="2"/>
          <w:numId w:val="1"/>
        </w:numPr>
        <w:tabs>
          <w:tab w:val="left" w:pos="1917"/>
        </w:tabs>
        <w:ind w:right="118" w:hanging="374"/>
        <w:jc w:val="both"/>
        <w:rPr>
          <w:sz w:val="24"/>
        </w:rPr>
      </w:pPr>
      <w:r w:rsidRPr="00B0304D">
        <w:rPr>
          <w:sz w:val="24"/>
        </w:rPr>
        <w:t>the child is born to, or legally adopted by, a parent</w:t>
      </w:r>
      <w:r w:rsidR="00B8787A" w:rsidRPr="00B0304D">
        <w:rPr>
          <w:sz w:val="24"/>
        </w:rPr>
        <w:fldChar w:fldCharType="begin"/>
      </w:r>
      <w:r w:rsidR="00CD619C" w:rsidRPr="00B0304D">
        <w:instrText xml:space="preserve"> XE </w:instrText>
      </w:r>
      <w:r w:rsidR="00F04BD6" w:rsidRPr="00B0304D">
        <w:instrText>“citizens’</w:instrText>
      </w:r>
      <w:r w:rsidR="004E618B" w:rsidRPr="00B0304D">
        <w:rPr>
          <w:lang w:val="en-GB"/>
        </w:rPr>
        <w:instrText xml:space="preserve"> rights:</w:instrText>
      </w:r>
      <w:r w:rsidR="00CD619C" w:rsidRPr="00B0304D">
        <w:rPr>
          <w:sz w:val="24"/>
        </w:rPr>
        <w:instrText>parents</w:instrText>
      </w:r>
      <w:r w:rsidR="00CD619C" w:rsidRPr="00B0304D">
        <w:instrText xml:space="preserve">" </w:instrText>
      </w:r>
      <w:r w:rsidR="00B8787A" w:rsidRPr="00B0304D">
        <w:rPr>
          <w:sz w:val="24"/>
        </w:rPr>
        <w:fldChar w:fldCharType="end"/>
      </w:r>
      <w:r w:rsidRPr="00B0304D">
        <w:rPr>
          <w:sz w:val="24"/>
        </w:rPr>
        <w:t xml:space="preserve"> who is protected by the Withdrawal Agreement and who has sole or joint custody of the child under the applicable family law of an EU27 Member State or the UK and without prejudging the normal operation of that law, in particular as regards the best interests of the</w:t>
      </w:r>
      <w:r w:rsidRPr="00B0304D">
        <w:rPr>
          <w:spacing w:val="-9"/>
          <w:sz w:val="24"/>
        </w:rPr>
        <w:t xml:space="preserve"> </w:t>
      </w:r>
      <w:r w:rsidRPr="00B0304D">
        <w:rPr>
          <w:sz w:val="24"/>
        </w:rPr>
        <w:t>child;</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20"/>
        <w:jc w:val="both"/>
        <w:rPr>
          <w:sz w:val="24"/>
        </w:rPr>
      </w:pPr>
      <w:r w:rsidRPr="00B0304D">
        <w:rPr>
          <w:sz w:val="24"/>
        </w:rPr>
        <w:t>The UK and EU27 Member States will facilitate entry and residence of partners</w:t>
      </w:r>
      <w:r w:rsidR="00B8787A" w:rsidRPr="00B0304D">
        <w:rPr>
          <w:sz w:val="24"/>
        </w:rPr>
        <w:fldChar w:fldCharType="begin"/>
      </w:r>
      <w:r w:rsidR="00CD619C" w:rsidRPr="00B0304D">
        <w:instrText xml:space="preserve"> XE </w:instrText>
      </w:r>
      <w:r w:rsidR="00F04BD6" w:rsidRPr="00B0304D">
        <w:instrText>“citizens’</w:instrText>
      </w:r>
      <w:r w:rsidR="004E618B" w:rsidRPr="00B0304D">
        <w:rPr>
          <w:lang w:val="en-GB"/>
        </w:rPr>
        <w:instrText xml:space="preserve"> rights:</w:instrText>
      </w:r>
      <w:r w:rsidR="00CD619C" w:rsidRPr="00B0304D">
        <w:rPr>
          <w:sz w:val="24"/>
        </w:rPr>
        <w:instrText>partners</w:instrText>
      </w:r>
      <w:r w:rsidR="00CD619C" w:rsidRPr="00B0304D">
        <w:instrText xml:space="preserve">" </w:instrText>
      </w:r>
      <w:r w:rsidR="00B8787A" w:rsidRPr="00B0304D">
        <w:rPr>
          <w:sz w:val="24"/>
        </w:rPr>
        <w:fldChar w:fldCharType="end"/>
      </w:r>
      <w:r w:rsidRPr="00B0304D">
        <w:rPr>
          <w:sz w:val="24"/>
        </w:rPr>
        <w:t xml:space="preserve"> in a durable relationship (Article 3(2)(b) of Directive 2004/38/EC</w:t>
      </w:r>
      <w:r w:rsidR="00B8787A" w:rsidRPr="00B0304D">
        <w:rPr>
          <w:sz w:val="24"/>
        </w:rPr>
        <w:fldChar w:fldCharType="begin"/>
      </w:r>
      <w:r w:rsidR="00421C2D" w:rsidRPr="00B0304D">
        <w:instrText xml:space="preserve"> XE "</w:instrText>
      </w:r>
      <w:r w:rsidR="00421C2D" w:rsidRPr="00B0304D">
        <w:rPr>
          <w:sz w:val="24"/>
        </w:rPr>
        <w:instrText>Directive 2004/38/EC</w:instrText>
      </w:r>
      <w:r w:rsidR="00421C2D" w:rsidRPr="00B0304D">
        <w:instrText xml:space="preserve">" </w:instrText>
      </w:r>
      <w:r w:rsidR="00B8787A" w:rsidRPr="00B0304D">
        <w:rPr>
          <w:sz w:val="24"/>
        </w:rPr>
        <w:fldChar w:fldCharType="end"/>
      </w:r>
      <w:r w:rsidRPr="00B0304D">
        <w:rPr>
          <w:sz w:val="24"/>
        </w:rPr>
        <w:t>) after the UK’s withdrawal in accordance with national legislation if the partners did not reside in the host state on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:partners</w:instrText>
      </w:r>
      <w:r w:rsidR="00421C2D" w:rsidRPr="00B0304D">
        <w:instrText xml:space="preserve">" </w:instrText>
      </w:r>
      <w:r w:rsidR="00B8787A" w:rsidRPr="00B0304D">
        <w:rPr>
          <w:sz w:val="24"/>
        </w:rPr>
        <w:fldChar w:fldCharType="end"/>
      </w:r>
      <w:r w:rsidRPr="00B0304D">
        <w:rPr>
          <w:sz w:val="24"/>
        </w:rPr>
        <w:t>, the relationship existed and was durable on the specified date and continues to exist at the point they wish to join the right</w:t>
      </w:r>
      <w:r w:rsidRPr="00B0304D">
        <w:rPr>
          <w:spacing w:val="-15"/>
          <w:sz w:val="24"/>
        </w:rPr>
        <w:t xml:space="preserve"> </w:t>
      </w:r>
      <w:r w:rsidRPr="00B0304D">
        <w:rPr>
          <w:sz w:val="24"/>
        </w:rPr>
        <w:t>holder;</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13"/>
        <w:jc w:val="both"/>
        <w:rPr>
          <w:sz w:val="24"/>
        </w:rPr>
      </w:pPr>
      <w:r w:rsidRPr="00B0304D">
        <w:rPr>
          <w:sz w:val="24"/>
        </w:rPr>
        <w:t>The right</w:t>
      </w:r>
      <w:r w:rsidR="00B8787A" w:rsidRPr="00B0304D">
        <w:rPr>
          <w:sz w:val="24"/>
        </w:rPr>
        <w:fldChar w:fldCharType="begin"/>
      </w:r>
      <w:r w:rsidR="00CD619C" w:rsidRPr="00B0304D">
        <w:instrText xml:space="preserve"> XE </w:instrText>
      </w:r>
      <w:r w:rsidR="00F04BD6" w:rsidRPr="00B0304D">
        <w:instrText>“citizens’</w:instrText>
      </w:r>
      <w:r w:rsidR="00CD619C" w:rsidRPr="00B0304D">
        <w:rPr>
          <w:sz w:val="24"/>
          <w:lang w:val="en-GB"/>
        </w:rPr>
        <w:instrText xml:space="preserve"> rights</w:instrText>
      </w:r>
      <w:r w:rsidR="00CD619C" w:rsidRPr="00B0304D">
        <w:rPr>
          <w:sz w:val="24"/>
        </w:rPr>
        <w:instrText>:</w:instrText>
      </w:r>
      <w:r w:rsidR="00CD619C" w:rsidRPr="00B0304D">
        <w:rPr>
          <w:lang w:val="en-GB"/>
        </w:rPr>
        <w:instrText>family members</w:instrText>
      </w:r>
      <w:r w:rsidR="00CD619C" w:rsidRPr="00B0304D">
        <w:instrText xml:space="preserve">" </w:instrText>
      </w:r>
      <w:r w:rsidR="00B8787A" w:rsidRPr="00B0304D">
        <w:rPr>
          <w:sz w:val="24"/>
        </w:rPr>
        <w:fldChar w:fldCharType="end"/>
      </w:r>
      <w:r w:rsidRPr="00B0304D">
        <w:rPr>
          <w:sz w:val="24"/>
        </w:rPr>
        <w:t xml:space="preserve"> to be joined by family members not covered by paragraphs 12 and 13 after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:family members</w:instrText>
      </w:r>
      <w:r w:rsidR="00421C2D" w:rsidRPr="00B0304D">
        <w:instrText xml:space="preserve">" </w:instrText>
      </w:r>
      <w:r w:rsidR="00B8787A" w:rsidRPr="00B0304D">
        <w:rPr>
          <w:sz w:val="24"/>
        </w:rPr>
        <w:fldChar w:fldCharType="end"/>
      </w:r>
      <w:r w:rsidRPr="00B0304D">
        <w:rPr>
          <w:sz w:val="24"/>
        </w:rPr>
        <w:t xml:space="preserve"> will be subject to national</w:t>
      </w:r>
      <w:r w:rsidRPr="00B0304D">
        <w:rPr>
          <w:spacing w:val="-9"/>
          <w:sz w:val="24"/>
        </w:rPr>
        <w:t xml:space="preserve"> </w:t>
      </w:r>
      <w:r w:rsidRPr="00B0304D">
        <w:rPr>
          <w:sz w:val="24"/>
        </w:rPr>
        <w:t>law;</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19"/>
        <w:jc w:val="both"/>
        <w:rPr>
          <w:sz w:val="24"/>
        </w:rPr>
      </w:pPr>
      <w:r w:rsidRPr="00B0304D">
        <w:rPr>
          <w:sz w:val="24"/>
        </w:rPr>
        <w:t>Those who on the specified date</w:t>
      </w:r>
      <w:r w:rsidR="00B8787A" w:rsidRPr="00B0304D">
        <w:rPr>
          <w:sz w:val="24"/>
        </w:rPr>
        <w:fldChar w:fldCharType="begin"/>
      </w:r>
      <w:r w:rsidR="00CD619C" w:rsidRPr="00B0304D">
        <w:instrText xml:space="preserve"> XE "</w:instrText>
      </w:r>
      <w:r w:rsidR="00CD619C" w:rsidRPr="00B0304D">
        <w:rPr>
          <w:sz w:val="24"/>
        </w:rPr>
        <w:instrText>specified date</w:instrText>
      </w:r>
      <w:r w:rsidR="00F35CAE" w:rsidRPr="00B0304D">
        <w:rPr>
          <w:sz w:val="24"/>
        </w:rPr>
        <w:instrText>:frontier workers</w:instrText>
      </w:r>
      <w:r w:rsidR="00CD619C" w:rsidRPr="00B0304D">
        <w:instrText xml:space="preserve">" </w:instrText>
      </w:r>
      <w:r w:rsidR="00B8787A" w:rsidRPr="00B0304D">
        <w:rPr>
          <w:sz w:val="24"/>
        </w:rPr>
        <w:fldChar w:fldCharType="end"/>
      </w:r>
      <w:r w:rsidRPr="00B0304D">
        <w:rPr>
          <w:sz w:val="24"/>
        </w:rPr>
        <w:t xml:space="preserve"> are working as frontier workers, as defined under Union law, fall within the scope of the Withdrawal</w:t>
      </w:r>
      <w:r w:rsidRPr="00B0304D">
        <w:rPr>
          <w:spacing w:val="-12"/>
          <w:sz w:val="24"/>
        </w:rPr>
        <w:t xml:space="preserve"> </w:t>
      </w:r>
      <w:r w:rsidRPr="00B0304D">
        <w:rPr>
          <w:sz w:val="24"/>
        </w:rPr>
        <w:t>Agreement;</w:t>
      </w:r>
    </w:p>
    <w:p w:rsidR="00AE6D8C" w:rsidRPr="00B0304D" w:rsidRDefault="00AE6D8C">
      <w:pPr>
        <w:jc w:val="both"/>
        <w:rPr>
          <w:sz w:val="24"/>
        </w:rPr>
        <w:sectPr w:rsidR="00AE6D8C" w:rsidRPr="00B0304D">
          <w:pgSz w:w="11910" w:h="16840"/>
          <w:pgMar w:top="1580" w:right="1300" w:bottom="1240" w:left="1660" w:header="0" w:footer="1044" w:gutter="0"/>
          <w:cols w:space="720"/>
        </w:sectPr>
      </w:pPr>
    </w:p>
    <w:p w:rsidR="00AE6D8C" w:rsidRPr="00B0304D" w:rsidRDefault="002E60BA">
      <w:pPr>
        <w:pStyle w:val="ListParagraph"/>
        <w:numPr>
          <w:ilvl w:val="0"/>
          <w:numId w:val="1"/>
        </w:numPr>
        <w:tabs>
          <w:tab w:val="left" w:pos="837"/>
        </w:tabs>
        <w:spacing w:before="69"/>
        <w:ind w:right="113"/>
        <w:jc w:val="both"/>
        <w:rPr>
          <w:sz w:val="24"/>
        </w:rPr>
      </w:pPr>
      <w:r w:rsidRPr="00B0304D">
        <w:rPr>
          <w:sz w:val="24"/>
        </w:rPr>
        <w:lastRenderedPageBreak/>
        <w:t>The UK and EU27 Member States can require persons concerned to apply to obtain a status conferring the rights of residence as provided for by the Withdrawal Agreement and be issued with a residence document</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residence document</w:instrText>
      </w:r>
      <w:r w:rsidR="00421C2D" w:rsidRPr="00B0304D">
        <w:instrText xml:space="preserve">" </w:instrText>
      </w:r>
      <w:r w:rsidR="00B8787A" w:rsidRPr="00B0304D">
        <w:rPr>
          <w:sz w:val="24"/>
        </w:rPr>
        <w:fldChar w:fldCharType="end"/>
      </w:r>
      <w:r w:rsidRPr="00B0304D">
        <w:rPr>
          <w:sz w:val="24"/>
        </w:rPr>
        <w:t xml:space="preserve"> attesting to the existence of that right. Where the host State requires persons concerned to apply for a status, no status is obtained if no successful application is made, subject to paragraph 17e. The UK and EU27 Member States can also continue with the present system under which entitlement of rights under the Withdrawal Agreement may be attested by any other means of proof than a residence</w:t>
      </w:r>
      <w:r w:rsidRPr="00B0304D">
        <w:rPr>
          <w:spacing w:val="-3"/>
          <w:sz w:val="24"/>
        </w:rPr>
        <w:t xml:space="preserve"> </w:t>
      </w:r>
      <w:r w:rsidRPr="00B0304D">
        <w:rPr>
          <w:sz w:val="24"/>
        </w:rPr>
        <w:t>document;</w:t>
      </w:r>
    </w:p>
    <w:p w:rsidR="00AE6D8C" w:rsidRPr="00B0304D" w:rsidRDefault="00AE6D8C">
      <w:pPr>
        <w:pStyle w:val="BodyText"/>
        <w:spacing w:before="6"/>
        <w:rPr>
          <w:sz w:val="26"/>
        </w:rPr>
      </w:pPr>
    </w:p>
    <w:p w:rsidR="00AE6D8C" w:rsidRPr="00B0304D" w:rsidRDefault="002E60BA">
      <w:pPr>
        <w:pStyle w:val="ListParagraph"/>
        <w:numPr>
          <w:ilvl w:val="0"/>
          <w:numId w:val="1"/>
        </w:numPr>
        <w:tabs>
          <w:tab w:val="left" w:pos="837"/>
        </w:tabs>
        <w:spacing w:before="1" w:line="213" w:lineRule="auto"/>
        <w:ind w:right="117"/>
        <w:jc w:val="both"/>
        <w:rPr>
          <w:sz w:val="24"/>
        </w:rPr>
      </w:pPr>
      <w:r w:rsidRPr="00B0304D">
        <w:rPr>
          <w:sz w:val="24"/>
        </w:rPr>
        <w:t>Administrative procedures for applications for status will be transparent, smooth and streamlined,</w:t>
      </w:r>
      <w:r w:rsidRPr="00B0304D">
        <w:rPr>
          <w:position w:val="11"/>
          <w:sz w:val="16"/>
        </w:rPr>
        <w:t xml:space="preserve">2  </w:t>
      </w:r>
      <w:r w:rsidRPr="00B0304D">
        <w:rPr>
          <w:sz w:val="24"/>
        </w:rPr>
        <w:t>in</w:t>
      </w:r>
      <w:r w:rsidRPr="00B0304D">
        <w:rPr>
          <w:spacing w:val="-24"/>
          <w:sz w:val="24"/>
        </w:rPr>
        <w:t xml:space="preserve"> </w:t>
      </w:r>
      <w:r w:rsidRPr="00B0304D">
        <w:rPr>
          <w:sz w:val="24"/>
        </w:rPr>
        <w:t>particular:</w:t>
      </w:r>
    </w:p>
    <w:p w:rsidR="00AE6D8C" w:rsidRPr="00B0304D" w:rsidRDefault="002E60BA">
      <w:pPr>
        <w:pStyle w:val="ListParagraph"/>
        <w:numPr>
          <w:ilvl w:val="1"/>
          <w:numId w:val="1"/>
        </w:numPr>
        <w:tabs>
          <w:tab w:val="left" w:pos="1557"/>
        </w:tabs>
        <w:ind w:right="116"/>
        <w:jc w:val="both"/>
        <w:rPr>
          <w:sz w:val="24"/>
        </w:rPr>
      </w:pPr>
      <w:r w:rsidRPr="00B0304D">
        <w:rPr>
          <w:sz w:val="24"/>
        </w:rPr>
        <w:t>The Withdrawal Agreement will specify that the host State cannot require anything more than is strictly necessary and proportionate to determine  whether the criteria have been met. The Withdrawal Agreement will contain provisions that follow a similar approach to the provisions on evidential requirements in Directive</w:t>
      </w:r>
      <w:r w:rsidRPr="00B0304D">
        <w:rPr>
          <w:spacing w:val="-5"/>
          <w:sz w:val="24"/>
        </w:rPr>
        <w:t xml:space="preserve"> </w:t>
      </w:r>
      <w:r w:rsidRPr="00B0304D">
        <w:rPr>
          <w:sz w:val="24"/>
        </w:rPr>
        <w:t>2004/38</w:t>
      </w:r>
      <w:r w:rsidR="00B8787A" w:rsidRPr="00B0304D">
        <w:rPr>
          <w:sz w:val="24"/>
        </w:rPr>
        <w:fldChar w:fldCharType="begin"/>
      </w:r>
      <w:r w:rsidR="00421C2D" w:rsidRPr="00B0304D">
        <w:instrText xml:space="preserve"> XE "</w:instrText>
      </w:r>
      <w:r w:rsidR="00421C2D" w:rsidRPr="00B0304D">
        <w:rPr>
          <w:sz w:val="24"/>
        </w:rPr>
        <w:instrText>Directive</w:instrText>
      </w:r>
      <w:r w:rsidR="00421C2D" w:rsidRPr="00B0304D">
        <w:rPr>
          <w:spacing w:val="-5"/>
          <w:sz w:val="24"/>
        </w:rPr>
        <w:instrText xml:space="preserve"> </w:instrText>
      </w:r>
      <w:r w:rsidR="00421C2D" w:rsidRPr="00B0304D">
        <w:rPr>
          <w:sz w:val="24"/>
        </w:rPr>
        <w:instrText>2004/38</w:instrText>
      </w:r>
      <w:r w:rsidR="00421C2D" w:rsidRPr="00B0304D">
        <w:instrText xml:space="preserve">" </w:instrText>
      </w:r>
      <w:r w:rsidR="00B8787A" w:rsidRPr="00B0304D">
        <w:rPr>
          <w:sz w:val="24"/>
        </w:rPr>
        <w:fldChar w:fldCharType="end"/>
      </w:r>
      <w:r w:rsidRPr="00B0304D">
        <w:rPr>
          <w:sz w:val="24"/>
        </w:rPr>
        <w:t>;</w:t>
      </w:r>
    </w:p>
    <w:p w:rsidR="00AE6D8C" w:rsidRPr="00B0304D" w:rsidRDefault="002E60BA">
      <w:pPr>
        <w:pStyle w:val="ListParagraph"/>
        <w:numPr>
          <w:ilvl w:val="1"/>
          <w:numId w:val="1"/>
        </w:numPr>
        <w:tabs>
          <w:tab w:val="left" w:pos="1557"/>
        </w:tabs>
        <w:ind w:right="0"/>
        <w:rPr>
          <w:sz w:val="24"/>
        </w:rPr>
      </w:pPr>
      <w:r w:rsidRPr="00B0304D">
        <w:rPr>
          <w:sz w:val="24"/>
        </w:rPr>
        <w:t>The host State will avoid any unnecessary administrative</w:t>
      </w:r>
      <w:r w:rsidRPr="00B0304D">
        <w:rPr>
          <w:spacing w:val="-14"/>
          <w:sz w:val="24"/>
        </w:rPr>
        <w:t xml:space="preserve"> </w:t>
      </w:r>
      <w:r w:rsidRPr="00B0304D">
        <w:rPr>
          <w:sz w:val="24"/>
        </w:rPr>
        <w:t>burdens;</w:t>
      </w:r>
    </w:p>
    <w:p w:rsidR="00AE6D8C" w:rsidRPr="00B0304D" w:rsidRDefault="002E60BA">
      <w:pPr>
        <w:pStyle w:val="ListParagraph"/>
        <w:numPr>
          <w:ilvl w:val="1"/>
          <w:numId w:val="1"/>
        </w:numPr>
        <w:tabs>
          <w:tab w:val="left" w:pos="1557"/>
        </w:tabs>
        <w:ind w:right="116"/>
        <w:jc w:val="both"/>
        <w:rPr>
          <w:sz w:val="24"/>
        </w:rPr>
      </w:pPr>
      <w:r w:rsidRPr="00B0304D">
        <w:rPr>
          <w:sz w:val="24"/>
        </w:rPr>
        <w:t>Application forms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application forms</w:instrText>
      </w:r>
      <w:r w:rsidR="00421C2D" w:rsidRPr="00B0304D">
        <w:instrText xml:space="preserve">" </w:instrText>
      </w:r>
      <w:r w:rsidR="00B8787A" w:rsidRPr="00B0304D">
        <w:rPr>
          <w:sz w:val="24"/>
        </w:rPr>
        <w:fldChar w:fldCharType="end"/>
      </w:r>
      <w:r w:rsidRPr="00B0304D">
        <w:rPr>
          <w:sz w:val="24"/>
        </w:rPr>
        <w:t xml:space="preserve"> will be short, simple, user friendly and adjusted to the context of the Withdrawal Agreement. The host State will work with the applicants to help them prove their eligibility under the Withdrawal Agreement and to avoid any errors or omissions that may impact on the application decision. Competent authorities will give applicants the opportunity to furnish supplementary evidence or remedy any deficiencies where it appears a simple omission has taken place. A principle of evidential flexibility</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evidential flexibility</w:instrText>
      </w:r>
      <w:r w:rsidR="00421C2D" w:rsidRPr="00B0304D">
        <w:instrText xml:space="preserve">" </w:instrText>
      </w:r>
      <w:r w:rsidR="00B8787A" w:rsidRPr="00B0304D">
        <w:rPr>
          <w:sz w:val="24"/>
        </w:rPr>
        <w:fldChar w:fldCharType="end"/>
      </w:r>
      <w:r w:rsidRPr="00B0304D">
        <w:rPr>
          <w:sz w:val="24"/>
        </w:rPr>
        <w:t xml:space="preserve"> will apply, enabling competent authorities to exercise discretion in </w:t>
      </w:r>
      <w:proofErr w:type="spellStart"/>
      <w:r w:rsidRPr="00B0304D">
        <w:rPr>
          <w:sz w:val="24"/>
        </w:rPr>
        <w:t>favour</w:t>
      </w:r>
      <w:proofErr w:type="spellEnd"/>
      <w:r w:rsidRPr="00B0304D">
        <w:rPr>
          <w:sz w:val="24"/>
        </w:rPr>
        <w:t xml:space="preserve"> of the applicant where</w:t>
      </w:r>
      <w:r w:rsidRPr="00B0304D">
        <w:rPr>
          <w:spacing w:val="-6"/>
          <w:sz w:val="24"/>
        </w:rPr>
        <w:t xml:space="preserve"> </w:t>
      </w:r>
      <w:r w:rsidRPr="00B0304D">
        <w:rPr>
          <w:sz w:val="24"/>
        </w:rPr>
        <w:t>appropriate;</w:t>
      </w:r>
    </w:p>
    <w:p w:rsidR="00AE6D8C" w:rsidRPr="00B0304D" w:rsidRDefault="002E60BA">
      <w:pPr>
        <w:pStyle w:val="ListParagraph"/>
        <w:numPr>
          <w:ilvl w:val="1"/>
          <w:numId w:val="1"/>
        </w:numPr>
        <w:tabs>
          <w:tab w:val="left" w:pos="1557"/>
        </w:tabs>
        <w:ind w:right="119"/>
        <w:jc w:val="both"/>
        <w:rPr>
          <w:sz w:val="24"/>
        </w:rPr>
      </w:pPr>
      <w:r w:rsidRPr="00B0304D">
        <w:rPr>
          <w:sz w:val="24"/>
        </w:rPr>
        <w:t>A proportionate approach will be taken to those who miss the deadline for application where there is a good reason. Applications made by families at the same time will be considered together;</w:t>
      </w:r>
      <w:r w:rsidRPr="00B0304D">
        <w:rPr>
          <w:spacing w:val="-8"/>
          <w:sz w:val="24"/>
        </w:rPr>
        <w:t xml:space="preserve"> </w:t>
      </w:r>
      <w:r w:rsidRPr="00B0304D">
        <w:rPr>
          <w:sz w:val="24"/>
        </w:rPr>
        <w:t>and</w:t>
      </w:r>
    </w:p>
    <w:p w:rsidR="00AE6D8C" w:rsidRPr="00B0304D" w:rsidRDefault="002E60BA">
      <w:pPr>
        <w:pStyle w:val="ListParagraph"/>
        <w:numPr>
          <w:ilvl w:val="1"/>
          <w:numId w:val="1"/>
        </w:numPr>
        <w:tabs>
          <w:tab w:val="left" w:pos="1557"/>
        </w:tabs>
        <w:ind w:right="118"/>
        <w:jc w:val="both"/>
        <w:rPr>
          <w:sz w:val="24"/>
        </w:rPr>
      </w:pPr>
      <w:r w:rsidRPr="00B0304D">
        <w:rPr>
          <w:sz w:val="24"/>
        </w:rPr>
        <w:t>Where an application is required to obtain status, adequate time of at least two years will be allowed to persons within the scope of the Withdrawal  Agreement to submit their applications. During this time period,  they will enjoy the rights conferred by the Withdrawal Agreement. Residence  documents under the Withdrawal Agreement will be issued free of charge or for a charge not exceeding that imposed on nationals for the issuing of similar documents;</w:t>
      </w:r>
    </w:p>
    <w:p w:rsidR="00AE6D8C" w:rsidRPr="00B0304D" w:rsidRDefault="00AE6D8C">
      <w:pPr>
        <w:pStyle w:val="BodyText"/>
        <w:spacing w:before="10"/>
        <w:rPr>
          <w:sz w:val="23"/>
        </w:rPr>
      </w:pPr>
    </w:p>
    <w:p w:rsidR="00AE6D8C" w:rsidRPr="00B0304D" w:rsidRDefault="002E60BA">
      <w:pPr>
        <w:pStyle w:val="ListParagraph"/>
        <w:numPr>
          <w:ilvl w:val="0"/>
          <w:numId w:val="1"/>
        </w:numPr>
        <w:tabs>
          <w:tab w:val="left" w:pos="837"/>
        </w:tabs>
        <w:spacing w:before="1"/>
        <w:jc w:val="both"/>
        <w:rPr>
          <w:sz w:val="24"/>
        </w:rPr>
      </w:pPr>
      <w:r w:rsidRPr="00B0304D">
        <w:rPr>
          <w:sz w:val="24"/>
        </w:rPr>
        <w:t>Pending a final decision by the competent authorities on any application made for status under the Withdrawal Agreement, as well as a final judgment handed down in case of judicial redress sought against any rejection</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rejection</w:instrText>
      </w:r>
      <w:r w:rsidR="00421C2D" w:rsidRPr="00B0304D">
        <w:instrText xml:space="preserve">" </w:instrText>
      </w:r>
      <w:r w:rsidR="00B8787A" w:rsidRPr="00B0304D">
        <w:rPr>
          <w:sz w:val="24"/>
        </w:rPr>
        <w:fldChar w:fldCharType="end"/>
      </w:r>
      <w:r w:rsidRPr="00B0304D">
        <w:rPr>
          <w:sz w:val="24"/>
        </w:rPr>
        <w:t xml:space="preserve"> of such application, the citizens' rights Part of the Withdrawal Agreement will apply to the applicant. The host State may remove applicants who submitted fraudulent or abusive applications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fraudulent or abusive applications</w:instrText>
      </w:r>
      <w:r w:rsidR="00421C2D" w:rsidRPr="00B0304D">
        <w:instrText xml:space="preserve">" </w:instrText>
      </w:r>
      <w:r w:rsidR="00B8787A" w:rsidRPr="00B0304D">
        <w:rPr>
          <w:sz w:val="24"/>
        </w:rPr>
        <w:fldChar w:fldCharType="end"/>
      </w:r>
      <w:r w:rsidRPr="00B0304D">
        <w:rPr>
          <w:sz w:val="24"/>
        </w:rPr>
        <w:t xml:space="preserve"> from the territory under the conditions set out in Directive 2004/38/EC</w:t>
      </w:r>
      <w:r w:rsidR="00B8787A" w:rsidRPr="00B0304D">
        <w:rPr>
          <w:sz w:val="24"/>
        </w:rPr>
        <w:fldChar w:fldCharType="begin"/>
      </w:r>
      <w:r w:rsidR="00421C2D" w:rsidRPr="00B0304D">
        <w:instrText xml:space="preserve"> XE "</w:instrText>
      </w:r>
      <w:r w:rsidR="00421C2D" w:rsidRPr="00B0304D">
        <w:rPr>
          <w:sz w:val="24"/>
        </w:rPr>
        <w:instrText>Directive 2004/38/EC</w:instrText>
      </w:r>
      <w:r w:rsidR="00421C2D" w:rsidRPr="00B0304D">
        <w:instrText xml:space="preserve">" </w:instrText>
      </w:r>
      <w:r w:rsidR="00B8787A" w:rsidRPr="00B0304D">
        <w:rPr>
          <w:sz w:val="24"/>
        </w:rPr>
        <w:fldChar w:fldCharType="end"/>
      </w:r>
      <w:r w:rsidRPr="00B0304D">
        <w:rPr>
          <w:sz w:val="24"/>
        </w:rPr>
        <w:t>, in particular Articles 31 and 35, even before a final judgment has been handed down in case of judicial redress sought against any rejection of such</w:t>
      </w:r>
      <w:r w:rsidRPr="00B0304D">
        <w:rPr>
          <w:spacing w:val="-13"/>
          <w:sz w:val="24"/>
        </w:rPr>
        <w:t xml:space="preserve"> </w:t>
      </w:r>
      <w:r w:rsidRPr="00B0304D">
        <w:rPr>
          <w:sz w:val="24"/>
        </w:rPr>
        <w:t>application;</w:t>
      </w:r>
    </w:p>
    <w:p w:rsidR="00AE6D8C" w:rsidRPr="00B0304D" w:rsidRDefault="00AE6D8C">
      <w:pPr>
        <w:pStyle w:val="BodyText"/>
        <w:rPr>
          <w:sz w:val="20"/>
        </w:rPr>
      </w:pPr>
    </w:p>
    <w:p w:rsidR="00AE6D8C" w:rsidRPr="00B0304D" w:rsidRDefault="00AE6D8C">
      <w:pPr>
        <w:pStyle w:val="BodyText"/>
        <w:rPr>
          <w:sz w:val="20"/>
        </w:rPr>
      </w:pPr>
    </w:p>
    <w:p w:rsidR="00AE6D8C" w:rsidRPr="00B0304D" w:rsidRDefault="00AE6D8C">
      <w:pPr>
        <w:pStyle w:val="BodyText"/>
        <w:spacing w:before="6"/>
        <w:rPr>
          <w:sz w:val="27"/>
        </w:rPr>
      </w:pPr>
    </w:p>
    <w:p w:rsidR="00AE6D8C" w:rsidRPr="00B0304D" w:rsidRDefault="002E60BA">
      <w:pPr>
        <w:tabs>
          <w:tab w:val="left" w:pos="603"/>
        </w:tabs>
        <w:spacing w:before="95"/>
        <w:ind w:left="116" w:right="115"/>
        <w:jc w:val="both"/>
        <w:rPr>
          <w:sz w:val="20"/>
        </w:rPr>
      </w:pPr>
      <w:r w:rsidRPr="00B0304D">
        <w:rPr>
          <w:position w:val="9"/>
          <w:sz w:val="13"/>
        </w:rPr>
        <w:t>2</w:t>
      </w:r>
      <w:r w:rsidRPr="00B0304D">
        <w:rPr>
          <w:position w:val="9"/>
          <w:sz w:val="13"/>
        </w:rPr>
        <w:tab/>
      </w:r>
      <w:r w:rsidRPr="00B0304D">
        <w:rPr>
          <w:sz w:val="20"/>
        </w:rPr>
        <w:t xml:space="preserve">For         information:         the         UK         has         published         a         technical         note  </w:t>
      </w:r>
      <w:r w:rsidRPr="00B0304D">
        <w:rPr>
          <w:spacing w:val="27"/>
          <w:sz w:val="20"/>
        </w:rPr>
        <w:t xml:space="preserve"> </w:t>
      </w:r>
      <w:r w:rsidRPr="00B0304D">
        <w:rPr>
          <w:sz w:val="20"/>
        </w:rPr>
        <w:t xml:space="preserve">–       </w:t>
      </w:r>
      <w:r w:rsidRPr="00B0304D">
        <w:rPr>
          <w:spacing w:val="18"/>
          <w:sz w:val="20"/>
        </w:rPr>
        <w:t xml:space="preserve"> </w:t>
      </w:r>
      <w:r w:rsidRPr="00B0304D">
        <w:rPr>
          <w:sz w:val="20"/>
        </w:rPr>
        <w:t>see</w:t>
      </w:r>
      <w:r w:rsidRPr="00B0304D">
        <w:rPr>
          <w:w w:val="99"/>
          <w:sz w:val="20"/>
        </w:rPr>
        <w:t xml:space="preserve"> </w:t>
      </w:r>
      <w:hyperlink r:id="rId9">
        <w:r w:rsidRPr="00B0304D">
          <w:rPr>
            <w:color w:val="0000FF"/>
            <w:sz w:val="20"/>
            <w:u w:val="single" w:color="0000FF"/>
          </w:rPr>
          <w:t>https://www.gov.uk/government/publications/citizens-rights-administrative-procedures-in-the-uk</w:t>
        </w:r>
      </w:hyperlink>
      <w:r w:rsidRPr="00B0304D">
        <w:rPr>
          <w:color w:val="0000FF"/>
          <w:sz w:val="20"/>
        </w:rPr>
        <w:t xml:space="preserve"> </w:t>
      </w:r>
      <w:r w:rsidRPr="00B0304D">
        <w:rPr>
          <w:sz w:val="20"/>
        </w:rPr>
        <w:t>- setting out proposed</w:t>
      </w:r>
      <w:r w:rsidRPr="00B0304D">
        <w:rPr>
          <w:spacing w:val="-3"/>
          <w:sz w:val="20"/>
        </w:rPr>
        <w:t xml:space="preserve"> </w:t>
      </w:r>
      <w:r w:rsidRPr="00B0304D">
        <w:rPr>
          <w:sz w:val="20"/>
        </w:rPr>
        <w:t>procedures</w:t>
      </w:r>
      <w:r w:rsidRPr="00B0304D">
        <w:rPr>
          <w:spacing w:val="-5"/>
          <w:sz w:val="20"/>
        </w:rPr>
        <w:t xml:space="preserve"> </w:t>
      </w:r>
      <w:r w:rsidRPr="00B0304D">
        <w:rPr>
          <w:sz w:val="20"/>
        </w:rPr>
        <w:t>under</w:t>
      </w:r>
      <w:r w:rsidRPr="00B0304D">
        <w:rPr>
          <w:spacing w:val="-3"/>
          <w:sz w:val="20"/>
        </w:rPr>
        <w:t xml:space="preserve"> </w:t>
      </w:r>
      <w:r w:rsidRPr="00B0304D">
        <w:rPr>
          <w:sz w:val="20"/>
        </w:rPr>
        <w:t>its</w:t>
      </w:r>
      <w:r w:rsidRPr="00B0304D">
        <w:rPr>
          <w:spacing w:val="-3"/>
          <w:sz w:val="20"/>
        </w:rPr>
        <w:t xml:space="preserve"> </w:t>
      </w:r>
      <w:r w:rsidRPr="00B0304D">
        <w:rPr>
          <w:sz w:val="20"/>
        </w:rPr>
        <w:t>national</w:t>
      </w:r>
      <w:r w:rsidRPr="00B0304D">
        <w:rPr>
          <w:spacing w:val="-4"/>
          <w:sz w:val="20"/>
        </w:rPr>
        <w:t xml:space="preserve"> </w:t>
      </w:r>
      <w:r w:rsidRPr="00B0304D">
        <w:rPr>
          <w:sz w:val="20"/>
        </w:rPr>
        <w:t>law,</w:t>
      </w:r>
      <w:r w:rsidRPr="00B0304D">
        <w:rPr>
          <w:spacing w:val="-2"/>
          <w:sz w:val="20"/>
        </w:rPr>
        <w:t xml:space="preserve"> </w:t>
      </w:r>
      <w:r w:rsidRPr="00B0304D">
        <w:rPr>
          <w:sz w:val="20"/>
        </w:rPr>
        <w:t>which</w:t>
      </w:r>
      <w:r w:rsidRPr="00B0304D">
        <w:rPr>
          <w:spacing w:val="-5"/>
          <w:sz w:val="20"/>
        </w:rPr>
        <w:t xml:space="preserve"> </w:t>
      </w:r>
      <w:r w:rsidRPr="00B0304D">
        <w:rPr>
          <w:sz w:val="20"/>
        </w:rPr>
        <w:t>it</w:t>
      </w:r>
      <w:r w:rsidRPr="00B0304D">
        <w:rPr>
          <w:spacing w:val="-2"/>
          <w:sz w:val="20"/>
        </w:rPr>
        <w:t xml:space="preserve"> </w:t>
      </w:r>
      <w:r w:rsidRPr="00B0304D">
        <w:rPr>
          <w:sz w:val="20"/>
        </w:rPr>
        <w:t>will</w:t>
      </w:r>
      <w:r w:rsidRPr="00B0304D">
        <w:rPr>
          <w:spacing w:val="-5"/>
          <w:sz w:val="20"/>
        </w:rPr>
        <w:t xml:space="preserve"> </w:t>
      </w:r>
      <w:r w:rsidRPr="00B0304D">
        <w:rPr>
          <w:sz w:val="20"/>
        </w:rPr>
        <w:t>continue</w:t>
      </w:r>
      <w:r w:rsidRPr="00B0304D">
        <w:rPr>
          <w:spacing w:val="-4"/>
          <w:sz w:val="20"/>
        </w:rPr>
        <w:t xml:space="preserve"> </w:t>
      </w:r>
      <w:r w:rsidRPr="00B0304D">
        <w:rPr>
          <w:sz w:val="20"/>
        </w:rPr>
        <w:t>to</w:t>
      </w:r>
      <w:r w:rsidRPr="00B0304D">
        <w:rPr>
          <w:spacing w:val="-3"/>
          <w:sz w:val="20"/>
        </w:rPr>
        <w:t xml:space="preserve"> </w:t>
      </w:r>
      <w:r w:rsidRPr="00B0304D">
        <w:rPr>
          <w:sz w:val="20"/>
        </w:rPr>
        <w:t>develop</w:t>
      </w:r>
      <w:r w:rsidRPr="00B0304D">
        <w:rPr>
          <w:spacing w:val="-3"/>
          <w:sz w:val="20"/>
        </w:rPr>
        <w:t xml:space="preserve"> </w:t>
      </w:r>
      <w:r w:rsidRPr="00B0304D">
        <w:rPr>
          <w:sz w:val="20"/>
        </w:rPr>
        <w:t>over</w:t>
      </w:r>
      <w:r w:rsidRPr="00B0304D">
        <w:rPr>
          <w:spacing w:val="-3"/>
          <w:sz w:val="20"/>
        </w:rPr>
        <w:t xml:space="preserve"> </w:t>
      </w:r>
      <w:r w:rsidRPr="00B0304D">
        <w:rPr>
          <w:sz w:val="20"/>
        </w:rPr>
        <w:t>the</w:t>
      </w:r>
      <w:r w:rsidRPr="00B0304D">
        <w:rPr>
          <w:spacing w:val="-4"/>
          <w:sz w:val="20"/>
        </w:rPr>
        <w:t xml:space="preserve"> </w:t>
      </w:r>
      <w:r w:rsidRPr="00B0304D">
        <w:rPr>
          <w:sz w:val="20"/>
        </w:rPr>
        <w:t>coming</w:t>
      </w:r>
      <w:r w:rsidRPr="00B0304D">
        <w:rPr>
          <w:spacing w:val="-3"/>
          <w:sz w:val="20"/>
        </w:rPr>
        <w:t xml:space="preserve"> </w:t>
      </w:r>
      <w:r w:rsidRPr="00B0304D">
        <w:rPr>
          <w:sz w:val="20"/>
        </w:rPr>
        <w:t>months.</w:t>
      </w:r>
    </w:p>
    <w:p w:rsidR="00AE6D8C" w:rsidRPr="00B0304D" w:rsidRDefault="00AE6D8C">
      <w:pPr>
        <w:jc w:val="both"/>
        <w:rPr>
          <w:sz w:val="20"/>
        </w:rPr>
        <w:sectPr w:rsidR="00AE6D8C" w:rsidRPr="00B0304D">
          <w:pgSz w:w="11910" w:h="16840"/>
          <w:pgMar w:top="1320" w:right="1300" w:bottom="1240" w:left="1300" w:header="0" w:footer="1044" w:gutter="0"/>
          <w:cols w:space="720"/>
        </w:sectPr>
      </w:pPr>
    </w:p>
    <w:p w:rsidR="00AE6D8C" w:rsidRPr="00B0304D" w:rsidRDefault="002E60BA">
      <w:pPr>
        <w:pStyle w:val="ListParagraph"/>
        <w:numPr>
          <w:ilvl w:val="0"/>
          <w:numId w:val="1"/>
        </w:numPr>
        <w:tabs>
          <w:tab w:val="left" w:pos="837"/>
        </w:tabs>
        <w:spacing w:before="69"/>
        <w:ind w:right="118"/>
        <w:jc w:val="both"/>
        <w:rPr>
          <w:sz w:val="24"/>
        </w:rPr>
      </w:pPr>
      <w:r w:rsidRPr="00B0304D">
        <w:rPr>
          <w:sz w:val="24"/>
        </w:rPr>
        <w:lastRenderedPageBreak/>
        <w:t>Decisions taken under the procedure for obtaining status under the Withdrawal Agreement will be made in accordance with the objective criteria established in the Withdrawal Agreement (i.e. no discretion</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discretion</w:instrText>
      </w:r>
      <w:r w:rsidR="00421C2D" w:rsidRPr="00B0304D">
        <w:instrText xml:space="preserve">" </w:instrText>
      </w:r>
      <w:r w:rsidR="00B8787A" w:rsidRPr="00B0304D">
        <w:rPr>
          <w:sz w:val="24"/>
        </w:rPr>
        <w:fldChar w:fldCharType="end"/>
      </w:r>
      <w:r w:rsidRPr="00B0304D">
        <w:rPr>
          <w:sz w:val="24"/>
        </w:rPr>
        <w:t xml:space="preserve">, unless in </w:t>
      </w:r>
      <w:proofErr w:type="spellStart"/>
      <w:r w:rsidRPr="00B0304D">
        <w:rPr>
          <w:sz w:val="24"/>
        </w:rPr>
        <w:t>favour</w:t>
      </w:r>
      <w:proofErr w:type="spellEnd"/>
      <w:r w:rsidRPr="00B0304D">
        <w:rPr>
          <w:sz w:val="24"/>
        </w:rPr>
        <w:t xml:space="preserve"> of the applicant). There  will be safeguards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safeguards</w:instrText>
      </w:r>
      <w:r w:rsidR="00421C2D" w:rsidRPr="00B0304D">
        <w:instrText xml:space="preserve">" </w:instrText>
      </w:r>
      <w:r w:rsidR="00B8787A" w:rsidRPr="00B0304D">
        <w:rPr>
          <w:sz w:val="24"/>
        </w:rPr>
        <w:fldChar w:fldCharType="end"/>
      </w:r>
      <w:r w:rsidRPr="00B0304D">
        <w:rPr>
          <w:sz w:val="24"/>
        </w:rPr>
        <w:t xml:space="preserve"> in the Withdrawal Agreement for a fair procedure, and decisions will be subject to the redress mechanisms and judicial controls provided in Directive 2004/38/EC;</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21"/>
        <w:jc w:val="both"/>
        <w:rPr>
          <w:sz w:val="24"/>
        </w:rPr>
      </w:pPr>
      <w:r w:rsidRPr="00B0304D">
        <w:rPr>
          <w:sz w:val="24"/>
        </w:rPr>
        <w:t>The conditions for acquiring the right of residence</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residence</w:instrText>
      </w:r>
      <w:r w:rsidR="00421C2D" w:rsidRPr="00B0304D">
        <w:instrText xml:space="preserve">" </w:instrText>
      </w:r>
      <w:r w:rsidR="00B8787A" w:rsidRPr="00B0304D">
        <w:rPr>
          <w:sz w:val="24"/>
        </w:rPr>
        <w:fldChar w:fldCharType="end"/>
      </w:r>
      <w:r w:rsidRPr="00B0304D">
        <w:rPr>
          <w:sz w:val="24"/>
        </w:rPr>
        <w:t xml:space="preserve"> under the Withdrawal Agreement are those set out in Articles 6 and 7 of Directive 2004/38/EC</w:t>
      </w:r>
      <w:r w:rsidR="00B8787A" w:rsidRPr="00B0304D">
        <w:rPr>
          <w:sz w:val="24"/>
        </w:rPr>
        <w:fldChar w:fldCharType="begin"/>
      </w:r>
      <w:r w:rsidR="00421C2D" w:rsidRPr="00B0304D">
        <w:instrText xml:space="preserve"> XE "</w:instrText>
      </w:r>
      <w:r w:rsidR="00421C2D" w:rsidRPr="00B0304D">
        <w:rPr>
          <w:sz w:val="24"/>
        </w:rPr>
        <w:instrText>Directive 2004/38/EC</w:instrText>
      </w:r>
      <w:r w:rsidR="00421C2D" w:rsidRPr="00B0304D">
        <w:instrText xml:space="preserve">" </w:instrText>
      </w:r>
      <w:r w:rsidR="00B8787A" w:rsidRPr="00B0304D">
        <w:rPr>
          <w:sz w:val="24"/>
        </w:rPr>
        <w:fldChar w:fldCharType="end"/>
      </w:r>
      <w:r w:rsidRPr="00B0304D">
        <w:rPr>
          <w:sz w:val="24"/>
        </w:rPr>
        <w:t>, including the right to change</w:t>
      </w:r>
      <w:r w:rsidRPr="00B0304D">
        <w:rPr>
          <w:spacing w:val="-5"/>
          <w:sz w:val="24"/>
        </w:rPr>
        <w:t xml:space="preserve"> </w:t>
      </w:r>
      <w:r w:rsidRPr="00B0304D">
        <w:rPr>
          <w:sz w:val="24"/>
        </w:rPr>
        <w:t>status;</w:t>
      </w:r>
    </w:p>
    <w:p w:rsidR="00AE6D8C" w:rsidRPr="00B0304D" w:rsidRDefault="00AE6D8C">
      <w:pPr>
        <w:pStyle w:val="BodyText"/>
      </w:pPr>
    </w:p>
    <w:p w:rsidR="00AE6D8C" w:rsidRPr="00B0304D" w:rsidRDefault="002E60BA">
      <w:pPr>
        <w:pStyle w:val="ListParagraph"/>
        <w:numPr>
          <w:ilvl w:val="0"/>
          <w:numId w:val="1"/>
        </w:numPr>
        <w:tabs>
          <w:tab w:val="left" w:pos="837"/>
        </w:tabs>
        <w:ind w:right="115"/>
        <w:jc w:val="both"/>
        <w:rPr>
          <w:sz w:val="24"/>
        </w:rPr>
      </w:pPr>
      <w:r w:rsidRPr="00B0304D">
        <w:rPr>
          <w:sz w:val="24"/>
        </w:rPr>
        <w:t>The conditions for acquiring the right of permanent residence</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residence</w:instrText>
      </w:r>
      <w:r w:rsidR="00421C2D" w:rsidRPr="00B0304D">
        <w:instrText xml:space="preserve">" </w:instrText>
      </w:r>
      <w:r w:rsidR="00B8787A" w:rsidRPr="00B0304D">
        <w:rPr>
          <w:sz w:val="24"/>
        </w:rPr>
        <w:fldChar w:fldCharType="end"/>
      </w:r>
      <w:r w:rsidRPr="00B0304D">
        <w:rPr>
          <w:sz w:val="24"/>
        </w:rPr>
        <w:t xml:space="preserve"> under the Withdrawal Agreement are those set out in Articles 16, 17 and 18 of Directive 2004/38/EC</w:t>
      </w:r>
      <w:r w:rsidR="00B8787A" w:rsidRPr="00B0304D">
        <w:rPr>
          <w:sz w:val="24"/>
        </w:rPr>
        <w:fldChar w:fldCharType="begin"/>
      </w:r>
      <w:r w:rsidR="00421C2D" w:rsidRPr="00B0304D">
        <w:instrText xml:space="preserve"> XE "</w:instrText>
      </w:r>
      <w:r w:rsidR="00421C2D" w:rsidRPr="00B0304D">
        <w:rPr>
          <w:sz w:val="24"/>
        </w:rPr>
        <w:instrText>Directive 2004/38/EC</w:instrText>
      </w:r>
      <w:r w:rsidR="00421C2D" w:rsidRPr="00B0304D">
        <w:instrText xml:space="preserve">" </w:instrText>
      </w:r>
      <w:r w:rsidR="00B8787A" w:rsidRPr="00B0304D">
        <w:rPr>
          <w:sz w:val="24"/>
        </w:rPr>
        <w:fldChar w:fldCharType="end"/>
      </w:r>
      <w:r w:rsidRPr="00B0304D">
        <w:rPr>
          <w:sz w:val="24"/>
        </w:rPr>
        <w:t>, with periods of lawful residence prior to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:residence</w:instrText>
      </w:r>
      <w:r w:rsidR="00421C2D" w:rsidRPr="00B0304D">
        <w:instrText xml:space="preserve">" </w:instrText>
      </w:r>
      <w:r w:rsidR="00B8787A" w:rsidRPr="00B0304D">
        <w:rPr>
          <w:sz w:val="24"/>
        </w:rPr>
        <w:fldChar w:fldCharType="end"/>
      </w:r>
      <w:r w:rsidRPr="00B0304D">
        <w:rPr>
          <w:sz w:val="24"/>
        </w:rPr>
        <w:t xml:space="preserve"> included in the calculation of the conditions set out in Articles 16 and 17 of Directive</w:t>
      </w:r>
      <w:r w:rsidRPr="00B0304D">
        <w:rPr>
          <w:spacing w:val="-9"/>
          <w:sz w:val="24"/>
        </w:rPr>
        <w:t xml:space="preserve"> </w:t>
      </w:r>
      <w:r w:rsidRPr="00B0304D">
        <w:rPr>
          <w:sz w:val="24"/>
        </w:rPr>
        <w:t>2004/38/EC;</w:t>
      </w:r>
    </w:p>
    <w:p w:rsidR="00AE6D8C" w:rsidRPr="00B0304D" w:rsidRDefault="00AE6D8C">
      <w:pPr>
        <w:pStyle w:val="BodyText"/>
      </w:pPr>
    </w:p>
    <w:p w:rsidR="00AE6D8C" w:rsidRPr="00B0304D" w:rsidRDefault="002E60BA">
      <w:pPr>
        <w:pStyle w:val="ListParagraph"/>
        <w:numPr>
          <w:ilvl w:val="0"/>
          <w:numId w:val="1"/>
        </w:numPr>
        <w:tabs>
          <w:tab w:val="left" w:pos="837"/>
        </w:tabs>
        <w:ind w:right="119"/>
        <w:jc w:val="both"/>
        <w:rPr>
          <w:sz w:val="24"/>
        </w:rPr>
      </w:pPr>
      <w:r w:rsidRPr="00B0304D">
        <w:rPr>
          <w:sz w:val="24"/>
        </w:rPr>
        <w:t>The UK and EU27 Member States can apply more favourable national provisions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national provisions</w:instrText>
      </w:r>
      <w:r w:rsidR="00421C2D" w:rsidRPr="00B0304D">
        <w:instrText xml:space="preserve">" </w:instrText>
      </w:r>
      <w:r w:rsidR="00B8787A" w:rsidRPr="00B0304D">
        <w:rPr>
          <w:sz w:val="24"/>
        </w:rPr>
        <w:fldChar w:fldCharType="end"/>
      </w:r>
      <w:r w:rsidRPr="00B0304D">
        <w:rPr>
          <w:sz w:val="24"/>
        </w:rPr>
        <w:t xml:space="preserve"> in accordance with Article 37 of Directive</w:t>
      </w:r>
      <w:r w:rsidRPr="00B0304D">
        <w:rPr>
          <w:spacing w:val="-7"/>
          <w:sz w:val="24"/>
        </w:rPr>
        <w:t xml:space="preserve"> </w:t>
      </w:r>
      <w:r w:rsidRPr="00B0304D">
        <w:rPr>
          <w:sz w:val="24"/>
        </w:rPr>
        <w:t>2004/38/EC;</w:t>
      </w:r>
    </w:p>
    <w:p w:rsidR="00AE6D8C" w:rsidRPr="00B0304D" w:rsidRDefault="00AE6D8C">
      <w:pPr>
        <w:pStyle w:val="BodyText"/>
        <w:spacing w:before="7"/>
      </w:pPr>
    </w:p>
    <w:p w:rsidR="00AE6D8C" w:rsidRPr="00B0304D" w:rsidRDefault="002E60BA">
      <w:pPr>
        <w:pStyle w:val="ListParagraph"/>
        <w:numPr>
          <w:ilvl w:val="0"/>
          <w:numId w:val="1"/>
        </w:numPr>
        <w:tabs>
          <w:tab w:val="left" w:pos="837"/>
        </w:tabs>
        <w:spacing w:line="232" w:lineRule="auto"/>
        <w:jc w:val="both"/>
        <w:rPr>
          <w:sz w:val="24"/>
        </w:rPr>
      </w:pPr>
      <w:r w:rsidRPr="00B0304D">
        <w:rPr>
          <w:sz w:val="24"/>
        </w:rPr>
        <w:t>In order to obtain status under the Withdrawal Agreement by application, those  already holding a permanent residence document</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residence document</w:instrText>
      </w:r>
      <w:r w:rsidR="00421C2D" w:rsidRPr="00B0304D">
        <w:instrText xml:space="preserve">" </w:instrText>
      </w:r>
      <w:r w:rsidR="00B8787A" w:rsidRPr="00B0304D">
        <w:rPr>
          <w:sz w:val="24"/>
        </w:rPr>
        <w:fldChar w:fldCharType="end"/>
      </w:r>
      <w:r w:rsidRPr="00B0304D">
        <w:rPr>
          <w:sz w:val="24"/>
        </w:rPr>
        <w:t xml:space="preserve"> issued under Union law</w:t>
      </w:r>
      <w:r w:rsidRPr="00B0304D">
        <w:rPr>
          <w:position w:val="11"/>
          <w:sz w:val="16"/>
        </w:rPr>
        <w:t xml:space="preserve">3 </w:t>
      </w:r>
      <w:r w:rsidRPr="00B0304D">
        <w:rPr>
          <w:sz w:val="24"/>
        </w:rPr>
        <w:t>at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:residence document</w:instrText>
      </w:r>
      <w:r w:rsidR="00421C2D" w:rsidRPr="00B0304D">
        <w:instrText xml:space="preserve">" </w:instrText>
      </w:r>
      <w:r w:rsidR="00B8787A" w:rsidRPr="00B0304D">
        <w:rPr>
          <w:sz w:val="24"/>
        </w:rPr>
        <w:fldChar w:fldCharType="end"/>
      </w:r>
      <w:r w:rsidRPr="00B0304D">
        <w:rPr>
          <w:sz w:val="24"/>
        </w:rPr>
        <w:t xml:space="preserve"> will have that document converted into the new document free</w:t>
      </w:r>
      <w:r w:rsidRPr="00B0304D">
        <w:rPr>
          <w:spacing w:val="22"/>
          <w:sz w:val="24"/>
        </w:rPr>
        <w:t xml:space="preserve"> </w:t>
      </w:r>
      <w:r w:rsidRPr="00B0304D">
        <w:rPr>
          <w:sz w:val="24"/>
        </w:rPr>
        <w:t>of charge, subject only to verification of identity, a criminality and security check</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criminality and security checks</w:instrText>
      </w:r>
      <w:r w:rsidR="00421C2D" w:rsidRPr="00B0304D">
        <w:instrText xml:space="preserve">" </w:instrText>
      </w:r>
      <w:r w:rsidR="00B8787A" w:rsidRPr="00B0304D">
        <w:rPr>
          <w:sz w:val="24"/>
        </w:rPr>
        <w:fldChar w:fldCharType="end"/>
      </w:r>
      <w:r w:rsidRPr="00B0304D">
        <w:rPr>
          <w:sz w:val="24"/>
        </w:rPr>
        <w:t xml:space="preserve"> and confirmation of ongoing</w:t>
      </w:r>
      <w:r w:rsidRPr="00B0304D">
        <w:rPr>
          <w:spacing w:val="-6"/>
          <w:sz w:val="24"/>
        </w:rPr>
        <w:t xml:space="preserve"> </w:t>
      </w:r>
      <w:r w:rsidRPr="00B0304D">
        <w:rPr>
          <w:sz w:val="24"/>
        </w:rPr>
        <w:t>residence;</w:t>
      </w:r>
    </w:p>
    <w:p w:rsidR="00AE6D8C" w:rsidRPr="00B0304D" w:rsidRDefault="00AE6D8C">
      <w:pPr>
        <w:pStyle w:val="BodyText"/>
        <w:spacing w:before="10"/>
        <w:rPr>
          <w:sz w:val="23"/>
        </w:rPr>
      </w:pPr>
    </w:p>
    <w:p w:rsidR="00AE6D8C" w:rsidRPr="00B0304D" w:rsidRDefault="002E60BA">
      <w:pPr>
        <w:pStyle w:val="ListParagraph"/>
        <w:numPr>
          <w:ilvl w:val="0"/>
          <w:numId w:val="1"/>
        </w:numPr>
        <w:tabs>
          <w:tab w:val="left" w:pos="837"/>
        </w:tabs>
        <w:spacing w:before="1"/>
        <w:jc w:val="both"/>
        <w:rPr>
          <w:sz w:val="24"/>
        </w:rPr>
      </w:pPr>
      <w:r w:rsidRPr="00B0304D">
        <w:rPr>
          <w:sz w:val="24"/>
        </w:rPr>
        <w:t>Systematic criminality and security checks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criminality and security checks</w:instrText>
      </w:r>
      <w:r w:rsidR="00421C2D" w:rsidRPr="00B0304D">
        <w:instrText xml:space="preserve">" </w:instrText>
      </w:r>
      <w:r w:rsidR="00B8787A" w:rsidRPr="00B0304D">
        <w:rPr>
          <w:sz w:val="24"/>
        </w:rPr>
        <w:fldChar w:fldCharType="end"/>
      </w:r>
      <w:r w:rsidRPr="00B0304D">
        <w:rPr>
          <w:sz w:val="24"/>
        </w:rPr>
        <w:t xml:space="preserve"> can – in the specific context of acquiring status under the Withdrawal Agreement – be carried out on all applicants for status under the Agreement and applicants can be asked to declare criminality. Any consequences arising from such checks and declarations shall be subject to the procedures in paragraphs 17 to</w:t>
      </w:r>
      <w:r w:rsidRPr="00B0304D">
        <w:rPr>
          <w:spacing w:val="-4"/>
          <w:sz w:val="24"/>
        </w:rPr>
        <w:t xml:space="preserve"> </w:t>
      </w:r>
      <w:r w:rsidRPr="00B0304D">
        <w:rPr>
          <w:sz w:val="24"/>
        </w:rPr>
        <w:t>19;</w:t>
      </w:r>
    </w:p>
    <w:p w:rsidR="00AE6D8C" w:rsidRPr="00B0304D" w:rsidRDefault="00AE6D8C">
      <w:pPr>
        <w:pStyle w:val="BodyText"/>
      </w:pPr>
    </w:p>
    <w:p w:rsidR="00AE6D8C" w:rsidRPr="00B0304D" w:rsidRDefault="002E60BA">
      <w:pPr>
        <w:pStyle w:val="ListParagraph"/>
        <w:numPr>
          <w:ilvl w:val="0"/>
          <w:numId w:val="1"/>
        </w:numPr>
        <w:tabs>
          <w:tab w:val="left" w:pos="837"/>
        </w:tabs>
        <w:ind w:right="116"/>
        <w:jc w:val="both"/>
        <w:rPr>
          <w:sz w:val="24"/>
        </w:rPr>
      </w:pPr>
      <w:r w:rsidRPr="00B0304D">
        <w:rPr>
          <w:sz w:val="24"/>
        </w:rPr>
        <w:t>Persons who acquired the permanent residence rights in the host State under the Withdrawal Agreement can be absent from its territory</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absence from territory</w:instrText>
      </w:r>
      <w:r w:rsidR="00421C2D" w:rsidRPr="00B0304D">
        <w:instrText xml:space="preserve">" </w:instrText>
      </w:r>
      <w:r w:rsidR="00B8787A" w:rsidRPr="00B0304D">
        <w:rPr>
          <w:sz w:val="24"/>
        </w:rPr>
        <w:fldChar w:fldCharType="end"/>
      </w:r>
      <w:r w:rsidRPr="00B0304D">
        <w:rPr>
          <w:sz w:val="24"/>
        </w:rPr>
        <w:t xml:space="preserve"> for a period not exceeding five consecutive years without losing their residence right under the Withdrawal Agreement;</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6"/>
        <w:jc w:val="both"/>
        <w:rPr>
          <w:sz w:val="24"/>
        </w:rPr>
      </w:pPr>
      <w:r w:rsidRPr="00B0304D">
        <w:rPr>
          <w:sz w:val="24"/>
        </w:rPr>
        <w:t>Any restrictions on grounds of public policy or security related to conduct prior to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:restrictions</w:instrText>
      </w:r>
      <w:r w:rsidR="00421C2D" w:rsidRPr="00B0304D">
        <w:instrText xml:space="preserve">" </w:instrText>
      </w:r>
      <w:r w:rsidR="00B8787A" w:rsidRPr="00B0304D">
        <w:rPr>
          <w:sz w:val="24"/>
        </w:rPr>
        <w:fldChar w:fldCharType="end"/>
      </w:r>
      <w:r w:rsidRPr="00B0304D">
        <w:rPr>
          <w:sz w:val="24"/>
        </w:rPr>
        <w:t xml:space="preserve"> of persons covered by the Withdrawal Agreement will be in accordance with Chapter VI of Directive</w:t>
      </w:r>
      <w:r w:rsidRPr="00B0304D">
        <w:rPr>
          <w:spacing w:val="-9"/>
          <w:sz w:val="24"/>
        </w:rPr>
        <w:t xml:space="preserve"> </w:t>
      </w:r>
      <w:r w:rsidRPr="00B0304D">
        <w:rPr>
          <w:sz w:val="24"/>
        </w:rPr>
        <w:t>2004/38/EC;</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24"/>
        <w:jc w:val="both"/>
        <w:rPr>
          <w:sz w:val="24"/>
        </w:rPr>
      </w:pPr>
      <w:r w:rsidRPr="00B0304D">
        <w:rPr>
          <w:sz w:val="24"/>
        </w:rPr>
        <w:t>Any restrictions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rights:restrictions:</w:instrText>
      </w:r>
      <w:r w:rsidR="00421C2D" w:rsidRPr="00B0304D">
        <w:rPr>
          <w:lang w:val="en-GB"/>
        </w:rPr>
        <w:instrText>security</w:instrText>
      </w:r>
      <w:r w:rsidR="00421C2D" w:rsidRPr="00B0304D">
        <w:instrText xml:space="preserve">" </w:instrText>
      </w:r>
      <w:r w:rsidR="00B8787A" w:rsidRPr="00B0304D">
        <w:rPr>
          <w:sz w:val="24"/>
        </w:rPr>
        <w:fldChar w:fldCharType="end"/>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restrictions:</w:instrText>
      </w:r>
      <w:r w:rsidR="00421C2D" w:rsidRPr="00B0304D">
        <w:rPr>
          <w:lang w:val="en-GB"/>
        </w:rPr>
        <w:instrText>public policy</w:instrText>
      </w:r>
      <w:r w:rsidR="00421C2D" w:rsidRPr="00B0304D">
        <w:instrText xml:space="preserve">" </w:instrText>
      </w:r>
      <w:r w:rsidR="00B8787A" w:rsidRPr="00B0304D">
        <w:rPr>
          <w:sz w:val="24"/>
        </w:rPr>
        <w:fldChar w:fldCharType="end"/>
      </w:r>
      <w:r w:rsidRPr="00B0304D">
        <w:rPr>
          <w:sz w:val="24"/>
        </w:rPr>
        <w:t xml:space="preserve"> on grounds of public policy or security related to conduct after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:restrictions</w:instrText>
      </w:r>
      <w:r w:rsidR="00421C2D" w:rsidRPr="00B0304D">
        <w:instrText xml:space="preserve">" </w:instrText>
      </w:r>
      <w:r w:rsidR="00B8787A" w:rsidRPr="00B0304D">
        <w:rPr>
          <w:sz w:val="24"/>
        </w:rPr>
        <w:fldChar w:fldCharType="end"/>
      </w:r>
      <w:r w:rsidRPr="00B0304D">
        <w:rPr>
          <w:sz w:val="24"/>
        </w:rPr>
        <w:t xml:space="preserve"> will be in accordance with national</w:t>
      </w:r>
      <w:r w:rsidRPr="00B0304D">
        <w:rPr>
          <w:spacing w:val="-7"/>
          <w:sz w:val="24"/>
        </w:rPr>
        <w:t xml:space="preserve"> </w:t>
      </w:r>
      <w:r w:rsidRPr="00B0304D">
        <w:rPr>
          <w:sz w:val="24"/>
        </w:rPr>
        <w:t>law;</w:t>
      </w:r>
    </w:p>
    <w:p w:rsidR="00AE6D8C" w:rsidRPr="00B0304D" w:rsidRDefault="00AE6D8C">
      <w:pPr>
        <w:pStyle w:val="BodyText"/>
      </w:pPr>
    </w:p>
    <w:p w:rsidR="00AE6D8C" w:rsidRPr="00B0304D" w:rsidRDefault="002E60BA">
      <w:pPr>
        <w:pStyle w:val="ListParagraph"/>
        <w:numPr>
          <w:ilvl w:val="0"/>
          <w:numId w:val="1"/>
        </w:numPr>
        <w:tabs>
          <w:tab w:val="left" w:pos="837"/>
        </w:tabs>
        <w:ind w:right="111"/>
        <w:jc w:val="both"/>
        <w:rPr>
          <w:sz w:val="24"/>
        </w:rPr>
      </w:pPr>
      <w:r w:rsidRPr="00B0304D">
        <w:rPr>
          <w:sz w:val="24"/>
        </w:rPr>
        <w:t>Social security coordination rules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E618B" w:rsidRPr="00B0304D">
        <w:rPr>
          <w:sz w:val="24"/>
        </w:rPr>
        <w:instrText>s</w:instrText>
      </w:r>
      <w:r w:rsidR="00421C2D" w:rsidRPr="00B0304D">
        <w:rPr>
          <w:sz w:val="24"/>
        </w:rPr>
        <w:instrText>ocial security</w:instrText>
      </w:r>
      <w:r w:rsidR="00B93B25" w:rsidRPr="00B0304D">
        <w:rPr>
          <w:sz w:val="24"/>
        </w:rPr>
        <w:instrText>:</w:instrText>
      </w:r>
      <w:r w:rsidR="00421C2D" w:rsidRPr="00B0304D">
        <w:rPr>
          <w:sz w:val="24"/>
        </w:rPr>
        <w:instrText>coordination rules</w:instrText>
      </w:r>
      <w:r w:rsidR="00421C2D" w:rsidRPr="00B0304D">
        <w:instrText xml:space="preserve">" </w:instrText>
      </w:r>
      <w:r w:rsidR="00B8787A" w:rsidRPr="00B0304D">
        <w:rPr>
          <w:sz w:val="24"/>
        </w:rPr>
        <w:fldChar w:fldCharType="end"/>
      </w:r>
      <w:r w:rsidRPr="00B0304D">
        <w:rPr>
          <w:sz w:val="24"/>
        </w:rPr>
        <w:t xml:space="preserve"> set out in Regulations (EC) No 883/2004</w:t>
      </w:r>
      <w:r w:rsidR="00B8787A" w:rsidRPr="00B0304D">
        <w:rPr>
          <w:sz w:val="24"/>
        </w:rPr>
        <w:fldChar w:fldCharType="begin"/>
      </w:r>
      <w:r w:rsidR="00421C2D" w:rsidRPr="00B0304D">
        <w:instrText xml:space="preserve"> XE "</w:instrText>
      </w:r>
      <w:r w:rsidR="00421C2D" w:rsidRPr="00B0304D">
        <w:rPr>
          <w:sz w:val="24"/>
        </w:rPr>
        <w:instrText>Regulations (EC) No 883/2004</w:instrText>
      </w:r>
      <w:r w:rsidR="00421C2D" w:rsidRPr="00B0304D">
        <w:instrText xml:space="preserve">" </w:instrText>
      </w:r>
      <w:r w:rsidR="00B8787A" w:rsidRPr="00B0304D">
        <w:rPr>
          <w:sz w:val="24"/>
        </w:rPr>
        <w:fldChar w:fldCharType="end"/>
      </w:r>
      <w:r w:rsidRPr="00B0304D">
        <w:rPr>
          <w:sz w:val="24"/>
        </w:rPr>
        <w:t xml:space="preserve"> and (EC) No 987/2009 will apply. Social security coordination rules will cover Union citizens who on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:social security coordination</w:instrText>
      </w:r>
      <w:r w:rsidR="00421C2D" w:rsidRPr="00B0304D">
        <w:instrText xml:space="preserve">" </w:instrText>
      </w:r>
      <w:r w:rsidR="00B8787A" w:rsidRPr="00B0304D">
        <w:rPr>
          <w:sz w:val="24"/>
        </w:rPr>
        <w:fldChar w:fldCharType="end"/>
      </w:r>
      <w:r w:rsidRPr="00B0304D">
        <w:rPr>
          <w:sz w:val="24"/>
        </w:rPr>
        <w:t xml:space="preserve"> are or have been subject to UK legislation and UK nationals who are or have been subject to the legislation of an EU27 Member State, and EU27 and </w:t>
      </w:r>
      <w:r w:rsidRPr="00B0304D">
        <w:rPr>
          <w:spacing w:val="15"/>
          <w:sz w:val="24"/>
        </w:rPr>
        <w:t xml:space="preserve"> </w:t>
      </w:r>
      <w:r w:rsidRPr="00B0304D">
        <w:rPr>
          <w:sz w:val="24"/>
        </w:rPr>
        <w:t xml:space="preserve">UK </w:t>
      </w:r>
      <w:r w:rsidRPr="00B0304D">
        <w:rPr>
          <w:spacing w:val="13"/>
          <w:sz w:val="24"/>
        </w:rPr>
        <w:t xml:space="preserve"> </w:t>
      </w:r>
      <w:r w:rsidRPr="00B0304D">
        <w:rPr>
          <w:sz w:val="24"/>
        </w:rPr>
        <w:t xml:space="preserve">nationals </w:t>
      </w:r>
      <w:r w:rsidRPr="00B0304D">
        <w:rPr>
          <w:spacing w:val="15"/>
          <w:sz w:val="24"/>
        </w:rPr>
        <w:t xml:space="preserve"> </w:t>
      </w:r>
      <w:r w:rsidRPr="00B0304D">
        <w:rPr>
          <w:sz w:val="24"/>
        </w:rPr>
        <w:t xml:space="preserve">within </w:t>
      </w:r>
      <w:r w:rsidRPr="00B0304D">
        <w:rPr>
          <w:spacing w:val="15"/>
          <w:sz w:val="24"/>
        </w:rPr>
        <w:t xml:space="preserve"> </w:t>
      </w:r>
      <w:r w:rsidRPr="00B0304D">
        <w:rPr>
          <w:sz w:val="24"/>
        </w:rPr>
        <w:t xml:space="preserve">the </w:t>
      </w:r>
      <w:r w:rsidRPr="00B0304D">
        <w:rPr>
          <w:spacing w:val="15"/>
          <w:sz w:val="24"/>
        </w:rPr>
        <w:t xml:space="preserve"> </w:t>
      </w:r>
      <w:r w:rsidRPr="00B0304D">
        <w:rPr>
          <w:sz w:val="24"/>
        </w:rPr>
        <w:t xml:space="preserve">scope </w:t>
      </w:r>
      <w:r w:rsidRPr="00B0304D">
        <w:rPr>
          <w:spacing w:val="13"/>
          <w:sz w:val="24"/>
        </w:rPr>
        <w:t xml:space="preserve"> </w:t>
      </w:r>
      <w:r w:rsidRPr="00B0304D">
        <w:rPr>
          <w:sz w:val="24"/>
        </w:rPr>
        <w:t xml:space="preserve">of </w:t>
      </w:r>
      <w:r w:rsidRPr="00B0304D">
        <w:rPr>
          <w:spacing w:val="13"/>
          <w:sz w:val="24"/>
        </w:rPr>
        <w:t xml:space="preserve"> </w:t>
      </w:r>
      <w:r w:rsidRPr="00B0304D">
        <w:rPr>
          <w:sz w:val="24"/>
        </w:rPr>
        <w:t xml:space="preserve">the </w:t>
      </w:r>
      <w:r w:rsidRPr="00B0304D">
        <w:rPr>
          <w:spacing w:val="15"/>
          <w:sz w:val="24"/>
        </w:rPr>
        <w:t xml:space="preserve"> </w:t>
      </w:r>
      <w:r w:rsidRPr="00B0304D">
        <w:rPr>
          <w:sz w:val="24"/>
        </w:rPr>
        <w:t xml:space="preserve">Withdrawal </w:t>
      </w:r>
      <w:r w:rsidRPr="00B0304D">
        <w:rPr>
          <w:spacing w:val="15"/>
          <w:sz w:val="24"/>
        </w:rPr>
        <w:t xml:space="preserve"> </w:t>
      </w:r>
      <w:r w:rsidRPr="00B0304D">
        <w:rPr>
          <w:sz w:val="24"/>
        </w:rPr>
        <w:t xml:space="preserve">Agreement </w:t>
      </w:r>
      <w:r w:rsidRPr="00B0304D">
        <w:rPr>
          <w:spacing w:val="15"/>
          <w:sz w:val="24"/>
        </w:rPr>
        <w:t xml:space="preserve"> </w:t>
      </w:r>
      <w:r w:rsidRPr="00B0304D">
        <w:rPr>
          <w:sz w:val="24"/>
        </w:rPr>
        <w:t xml:space="preserve">by </w:t>
      </w:r>
      <w:r w:rsidRPr="00B0304D">
        <w:rPr>
          <w:spacing w:val="12"/>
          <w:sz w:val="24"/>
        </w:rPr>
        <w:t xml:space="preserve"> </w:t>
      </w:r>
      <w:r w:rsidRPr="00B0304D">
        <w:rPr>
          <w:sz w:val="24"/>
        </w:rPr>
        <w:t xml:space="preserve">virtue </w:t>
      </w:r>
      <w:r w:rsidRPr="00B0304D">
        <w:rPr>
          <w:spacing w:val="16"/>
          <w:sz w:val="24"/>
        </w:rPr>
        <w:t xml:space="preserve"> </w:t>
      </w:r>
      <w:r w:rsidRPr="00B0304D">
        <w:rPr>
          <w:sz w:val="24"/>
        </w:rPr>
        <w:t>of</w:t>
      </w:r>
    </w:p>
    <w:p w:rsidR="00AE6D8C" w:rsidRPr="00B0304D" w:rsidRDefault="00AE6D8C">
      <w:pPr>
        <w:pStyle w:val="BodyText"/>
        <w:spacing w:before="6"/>
        <w:rPr>
          <w:sz w:val="15"/>
        </w:rPr>
      </w:pPr>
    </w:p>
    <w:p w:rsidR="00AE6D8C" w:rsidRPr="00B0304D" w:rsidRDefault="002E60BA">
      <w:pPr>
        <w:spacing w:before="95"/>
        <w:ind w:left="116"/>
        <w:rPr>
          <w:sz w:val="20"/>
        </w:rPr>
      </w:pPr>
      <w:r w:rsidRPr="00B0304D">
        <w:rPr>
          <w:position w:val="9"/>
          <w:sz w:val="13"/>
        </w:rPr>
        <w:t xml:space="preserve">3 </w:t>
      </w:r>
      <w:r w:rsidRPr="00B0304D">
        <w:rPr>
          <w:sz w:val="20"/>
        </w:rPr>
        <w:t>This includes beneficiaries of the Withdrawal Agreement who hold valid domestic immigration documents conferring a permanent right to reside in the host state (such as UK Indefinite Leave to Remain (ILR) status).</w:t>
      </w:r>
    </w:p>
    <w:p w:rsidR="00AE6D8C" w:rsidRPr="00B0304D" w:rsidRDefault="00AE6D8C">
      <w:pPr>
        <w:rPr>
          <w:sz w:val="20"/>
        </w:rPr>
        <w:sectPr w:rsidR="00AE6D8C" w:rsidRPr="00B0304D">
          <w:pgSz w:w="11910" w:h="16840"/>
          <w:pgMar w:top="1320" w:right="1300" w:bottom="1240" w:left="1300" w:header="0" w:footer="1044" w:gutter="0"/>
          <w:cols w:space="720"/>
        </w:sectPr>
      </w:pPr>
    </w:p>
    <w:p w:rsidR="00AE6D8C" w:rsidRPr="00B0304D" w:rsidRDefault="002E60BA">
      <w:pPr>
        <w:pStyle w:val="BodyText"/>
        <w:spacing w:before="69"/>
        <w:ind w:left="836" w:right="113"/>
        <w:jc w:val="both"/>
      </w:pPr>
      <w:r w:rsidRPr="00B0304D">
        <w:lastRenderedPageBreak/>
        <w:t>residence. Those rules will also apply, for the purposes of aggregation of periods of social security insurance</w:t>
      </w:r>
      <w:r w:rsidR="00B8787A" w:rsidRPr="00B0304D">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instrText>social security</w:instrText>
      </w:r>
      <w:r w:rsidR="00B93B25" w:rsidRPr="00B0304D">
        <w:instrText>:</w:instrText>
      </w:r>
      <w:r w:rsidR="00421C2D" w:rsidRPr="00B0304D">
        <w:instrText xml:space="preserve">insurance" </w:instrText>
      </w:r>
      <w:r w:rsidR="00B8787A" w:rsidRPr="00B0304D">
        <w:fldChar w:fldCharType="end"/>
      </w:r>
      <w:r w:rsidRPr="00B0304D">
        <w:t>, to Union and UK citizens having worked or resided in the UK or in an EU27 Member State in the past;</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jc w:val="both"/>
        <w:rPr>
          <w:i/>
          <w:sz w:val="24"/>
        </w:rPr>
      </w:pPr>
      <w:r w:rsidRPr="00B0304D">
        <w:rPr>
          <w:sz w:val="24"/>
        </w:rPr>
        <w:t>Rules for healthcare</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healthcare</w:instrText>
      </w:r>
      <w:r w:rsidR="00421C2D" w:rsidRPr="00B0304D">
        <w:instrText xml:space="preserve">" </w:instrText>
      </w:r>
      <w:r w:rsidR="00B8787A" w:rsidRPr="00B0304D">
        <w:rPr>
          <w:sz w:val="24"/>
        </w:rPr>
        <w:fldChar w:fldCharType="end"/>
      </w:r>
      <w:r w:rsidRPr="00B0304D">
        <w:rPr>
          <w:sz w:val="24"/>
        </w:rPr>
        <w:t>, including the European Health Insurance Card (</w:t>
      </w:r>
      <w:proofErr w:type="spellStart"/>
      <w:r w:rsidRPr="00B0304D">
        <w:rPr>
          <w:sz w:val="24"/>
        </w:rPr>
        <w:t>EHIC</w:t>
      </w:r>
      <w:proofErr w:type="spellEnd"/>
      <w:r w:rsidRPr="00B0304D">
        <w:rPr>
          <w:sz w:val="24"/>
        </w:rPr>
        <w:t>) scheme</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European Health Insurance Card (EHIC) scheme</w:instrText>
      </w:r>
      <w:r w:rsidR="00421C2D" w:rsidRPr="00B0304D">
        <w:instrText xml:space="preserve">" </w:instrText>
      </w:r>
      <w:r w:rsidR="00B8787A" w:rsidRPr="00B0304D">
        <w:rPr>
          <w:sz w:val="24"/>
        </w:rPr>
        <w:fldChar w:fldCharType="end"/>
      </w:r>
      <w:r w:rsidRPr="00B0304D">
        <w:rPr>
          <w:sz w:val="24"/>
        </w:rPr>
        <w:t>, will follow Regulation (EC) No 883/2004</w:t>
      </w:r>
      <w:r w:rsidR="00B8787A" w:rsidRPr="00B0304D">
        <w:rPr>
          <w:sz w:val="24"/>
        </w:rPr>
        <w:fldChar w:fldCharType="begin"/>
      </w:r>
      <w:r w:rsidR="00421C2D" w:rsidRPr="00B0304D">
        <w:instrText xml:space="preserve"> XE "</w:instrText>
      </w:r>
      <w:r w:rsidR="00421C2D" w:rsidRPr="00B0304D">
        <w:rPr>
          <w:sz w:val="24"/>
        </w:rPr>
        <w:instrText>Regulation (EC) No 883/2004</w:instrText>
      </w:r>
      <w:r w:rsidR="00421C2D" w:rsidRPr="00B0304D">
        <w:instrText xml:space="preserve">" </w:instrText>
      </w:r>
      <w:r w:rsidR="00B8787A" w:rsidRPr="00B0304D">
        <w:rPr>
          <w:sz w:val="24"/>
        </w:rPr>
        <w:fldChar w:fldCharType="end"/>
      </w:r>
      <w:r w:rsidRPr="00B0304D">
        <w:rPr>
          <w:sz w:val="24"/>
        </w:rPr>
        <w:t>. Persons whose competent state is the UK and are in the EU27 on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:healthcare</w:instrText>
      </w:r>
      <w:r w:rsidR="00421C2D" w:rsidRPr="00B0304D">
        <w:instrText xml:space="preserve">" </w:instrText>
      </w:r>
      <w:r w:rsidR="00B8787A" w:rsidRPr="00B0304D">
        <w:rPr>
          <w:sz w:val="24"/>
        </w:rPr>
        <w:fldChar w:fldCharType="end"/>
      </w:r>
      <w:r w:rsidRPr="00B0304D">
        <w:rPr>
          <w:sz w:val="24"/>
        </w:rPr>
        <w:t xml:space="preserve"> (and vice versa) – whether on a temporary stay or resident – continue to be eligible for healthcare  reimbursement,  including under the EHIC scheme, as long as that stay, residence or treatment</w:t>
      </w:r>
      <w:r w:rsidRPr="00B0304D">
        <w:rPr>
          <w:spacing w:val="-11"/>
          <w:sz w:val="24"/>
        </w:rPr>
        <w:t xml:space="preserve"> </w:t>
      </w:r>
      <w:r w:rsidRPr="00B0304D">
        <w:rPr>
          <w:sz w:val="24"/>
        </w:rPr>
        <w:t>continues</w:t>
      </w:r>
      <w:r w:rsidRPr="00B0304D">
        <w:rPr>
          <w:i/>
          <w:sz w:val="24"/>
        </w:rPr>
        <w:t>;</w:t>
      </w:r>
    </w:p>
    <w:p w:rsidR="00AE6D8C" w:rsidRPr="00B0304D" w:rsidRDefault="00AE6D8C">
      <w:pPr>
        <w:pStyle w:val="BodyText"/>
        <w:rPr>
          <w:i/>
        </w:rPr>
      </w:pPr>
    </w:p>
    <w:p w:rsidR="00AE6D8C" w:rsidRPr="00B0304D" w:rsidRDefault="002E60BA">
      <w:pPr>
        <w:pStyle w:val="ListParagraph"/>
        <w:numPr>
          <w:ilvl w:val="0"/>
          <w:numId w:val="1"/>
        </w:numPr>
        <w:tabs>
          <w:tab w:val="left" w:pos="837"/>
        </w:tabs>
        <w:ind w:right="117"/>
        <w:jc w:val="both"/>
        <w:rPr>
          <w:sz w:val="24"/>
        </w:rPr>
      </w:pPr>
      <w:r w:rsidRPr="00B0304D">
        <w:rPr>
          <w:sz w:val="24"/>
        </w:rPr>
        <w:t>For rights and obligations set out in Regulations (EC) No 883/2004</w:t>
      </w:r>
      <w:r w:rsidR="00B8787A" w:rsidRPr="00B0304D">
        <w:rPr>
          <w:sz w:val="24"/>
        </w:rPr>
        <w:fldChar w:fldCharType="begin"/>
      </w:r>
      <w:r w:rsidR="00421C2D" w:rsidRPr="00B0304D">
        <w:instrText xml:space="preserve"> XE "</w:instrText>
      </w:r>
      <w:r w:rsidR="00421C2D" w:rsidRPr="00B0304D">
        <w:rPr>
          <w:sz w:val="24"/>
        </w:rPr>
        <w:instrText>Regulations (EC) No 883/2004</w:instrText>
      </w:r>
      <w:r w:rsidR="00421C2D" w:rsidRPr="00B0304D">
        <w:instrText xml:space="preserve">" </w:instrText>
      </w:r>
      <w:r w:rsidR="00B8787A" w:rsidRPr="00B0304D">
        <w:rPr>
          <w:sz w:val="24"/>
        </w:rPr>
        <w:fldChar w:fldCharType="end"/>
      </w:r>
      <w:r w:rsidRPr="00B0304D">
        <w:rPr>
          <w:sz w:val="24"/>
        </w:rPr>
        <w:t xml:space="preserve"> and (EC) No 987/2009</w:t>
      </w:r>
      <w:r w:rsidR="00B8787A" w:rsidRPr="00B0304D">
        <w:rPr>
          <w:sz w:val="24"/>
        </w:rPr>
        <w:fldChar w:fldCharType="begin"/>
      </w:r>
      <w:r w:rsidR="00421C2D" w:rsidRPr="00B0304D">
        <w:instrText xml:space="preserve"> XE "</w:instrText>
      </w:r>
      <w:r w:rsidR="00F018BF" w:rsidRPr="00B0304D">
        <w:rPr>
          <w:sz w:val="24"/>
        </w:rPr>
        <w:instrText>EC</w:instrText>
      </w:r>
      <w:r w:rsidR="00421C2D" w:rsidRPr="00B0304D">
        <w:rPr>
          <w:sz w:val="24"/>
        </w:rPr>
        <w:instrText xml:space="preserve"> No 987/2009</w:instrText>
      </w:r>
      <w:r w:rsidR="00421C2D" w:rsidRPr="00B0304D">
        <w:instrText xml:space="preserve">" </w:instrText>
      </w:r>
      <w:r w:rsidR="00B8787A" w:rsidRPr="00B0304D">
        <w:rPr>
          <w:sz w:val="24"/>
        </w:rPr>
        <w:fldChar w:fldCharType="end"/>
      </w:r>
      <w:r w:rsidRPr="00B0304D">
        <w:rPr>
          <w:sz w:val="24"/>
        </w:rPr>
        <w:t xml:space="preserve"> on the coordination of social security systems, a mechanism will be established to decide jointly on the incorporation of future amendments to those Regulations in the Withdrawal</w:t>
      </w:r>
      <w:r w:rsidRPr="00B0304D">
        <w:rPr>
          <w:spacing w:val="-9"/>
          <w:sz w:val="24"/>
        </w:rPr>
        <w:t xml:space="preserve"> </w:t>
      </w:r>
      <w:r w:rsidRPr="00B0304D">
        <w:rPr>
          <w:sz w:val="24"/>
        </w:rPr>
        <w:t>Agreement;</w:t>
      </w:r>
    </w:p>
    <w:p w:rsidR="00AE6D8C" w:rsidRPr="00B0304D" w:rsidRDefault="00AE6D8C">
      <w:pPr>
        <w:pStyle w:val="BodyText"/>
      </w:pPr>
    </w:p>
    <w:p w:rsidR="00AE6D8C" w:rsidRPr="00B0304D" w:rsidRDefault="002E60BA">
      <w:pPr>
        <w:pStyle w:val="ListParagraph"/>
        <w:numPr>
          <w:ilvl w:val="0"/>
          <w:numId w:val="1"/>
        </w:numPr>
        <w:tabs>
          <w:tab w:val="left" w:pos="837"/>
        </w:tabs>
        <w:ind w:right="117"/>
        <w:jc w:val="both"/>
        <w:rPr>
          <w:sz w:val="24"/>
        </w:rPr>
      </w:pPr>
      <w:r w:rsidRPr="00B0304D">
        <w:rPr>
          <w:sz w:val="24"/>
        </w:rPr>
        <w:t>Equal treatment</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equal treatment</w:instrText>
      </w:r>
      <w:r w:rsidR="00421C2D" w:rsidRPr="00B0304D">
        <w:instrText xml:space="preserve">" </w:instrText>
      </w:r>
      <w:r w:rsidR="00B8787A" w:rsidRPr="00B0304D">
        <w:rPr>
          <w:sz w:val="24"/>
        </w:rPr>
        <w:fldChar w:fldCharType="end"/>
      </w:r>
      <w:r w:rsidRPr="00B0304D">
        <w:rPr>
          <w:sz w:val="24"/>
        </w:rPr>
        <w:t xml:space="preserve"> will apply within the limits of Articles 18, 45 and 49 </w:t>
      </w:r>
      <w:proofErr w:type="spellStart"/>
      <w:r w:rsidRPr="00B0304D">
        <w:rPr>
          <w:sz w:val="24"/>
        </w:rPr>
        <w:t>TFEU</w:t>
      </w:r>
      <w:proofErr w:type="spellEnd"/>
      <w:r w:rsidRPr="00B0304D">
        <w:rPr>
          <w:sz w:val="24"/>
        </w:rPr>
        <w:t>, Article  24 of Directive 2004/38/EC and Regulation (EU) No 492/2011 including rights of workers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workers</w:instrText>
      </w:r>
      <w:r w:rsidR="00421C2D" w:rsidRPr="00B0304D">
        <w:instrText xml:space="preserve">" </w:instrText>
      </w:r>
      <w:r w:rsidR="00B8787A" w:rsidRPr="00B0304D">
        <w:rPr>
          <w:sz w:val="24"/>
        </w:rPr>
        <w:fldChar w:fldCharType="end"/>
      </w:r>
      <w:r w:rsidRPr="00B0304D">
        <w:rPr>
          <w:sz w:val="24"/>
        </w:rPr>
        <w:t>, self-employed</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self-employed</w:instrText>
      </w:r>
      <w:r w:rsidR="00421C2D" w:rsidRPr="00B0304D">
        <w:instrText xml:space="preserve">" </w:instrText>
      </w:r>
      <w:r w:rsidR="00B8787A" w:rsidRPr="00B0304D">
        <w:rPr>
          <w:sz w:val="24"/>
        </w:rPr>
        <w:fldChar w:fldCharType="end"/>
      </w:r>
      <w:r w:rsidRPr="00B0304D">
        <w:rPr>
          <w:sz w:val="24"/>
        </w:rPr>
        <w:t>, students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students</w:instrText>
      </w:r>
      <w:r w:rsidR="00421C2D" w:rsidRPr="00B0304D">
        <w:instrText xml:space="preserve">" </w:instrText>
      </w:r>
      <w:r w:rsidR="00B8787A" w:rsidRPr="00B0304D">
        <w:rPr>
          <w:sz w:val="24"/>
        </w:rPr>
        <w:fldChar w:fldCharType="end"/>
      </w:r>
      <w:r w:rsidRPr="00B0304D">
        <w:rPr>
          <w:sz w:val="24"/>
        </w:rPr>
        <w:t xml:space="preserve"> and economically inactive citizens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economically inactive citizens</w:instrText>
      </w:r>
      <w:r w:rsidR="00421C2D" w:rsidRPr="00B0304D">
        <w:instrText xml:space="preserve">" </w:instrText>
      </w:r>
      <w:r w:rsidR="00B8787A" w:rsidRPr="00B0304D">
        <w:rPr>
          <w:sz w:val="24"/>
        </w:rPr>
        <w:fldChar w:fldCharType="end"/>
      </w:r>
      <w:r w:rsidRPr="00B0304D">
        <w:rPr>
          <w:sz w:val="24"/>
        </w:rPr>
        <w:t xml:space="preserve"> with respect to social security, social assistance, health care, employment, self-employment and setting up and managing an undertaking, education (including higher education) and training, social and tax</w:t>
      </w:r>
      <w:r w:rsidRPr="00B0304D">
        <w:rPr>
          <w:spacing w:val="-10"/>
          <w:sz w:val="24"/>
        </w:rPr>
        <w:t xml:space="preserve"> </w:t>
      </w:r>
      <w:r w:rsidRPr="00B0304D">
        <w:rPr>
          <w:sz w:val="24"/>
        </w:rPr>
        <w:t>advantages;</w:t>
      </w:r>
    </w:p>
    <w:p w:rsidR="00AE6D8C" w:rsidRPr="00B0304D" w:rsidRDefault="00AE6D8C">
      <w:pPr>
        <w:pStyle w:val="BodyText"/>
        <w:spacing w:before="10"/>
        <w:rPr>
          <w:sz w:val="23"/>
        </w:rPr>
      </w:pPr>
    </w:p>
    <w:p w:rsidR="00AE6D8C" w:rsidRPr="00B0304D" w:rsidRDefault="002E60BA">
      <w:pPr>
        <w:pStyle w:val="ListParagraph"/>
        <w:numPr>
          <w:ilvl w:val="0"/>
          <w:numId w:val="1"/>
        </w:numPr>
        <w:tabs>
          <w:tab w:val="left" w:pos="837"/>
        </w:tabs>
        <w:spacing w:before="1"/>
        <w:ind w:right="120"/>
        <w:jc w:val="both"/>
        <w:rPr>
          <w:sz w:val="24"/>
        </w:rPr>
      </w:pPr>
      <w:r w:rsidRPr="00B0304D">
        <w:rPr>
          <w:sz w:val="24"/>
        </w:rPr>
        <w:t>Decisions on recognition of qualifications granted to persons covered by the scope of the Withdrawal Agreement before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:qualifications</w:instrText>
      </w:r>
      <w:r w:rsidR="00421C2D" w:rsidRPr="00B0304D">
        <w:instrText xml:space="preserve">" </w:instrText>
      </w:r>
      <w:r w:rsidR="00B8787A" w:rsidRPr="00B0304D">
        <w:rPr>
          <w:sz w:val="24"/>
        </w:rPr>
        <w:fldChar w:fldCharType="end"/>
      </w:r>
      <w:r w:rsidRPr="00B0304D">
        <w:rPr>
          <w:sz w:val="24"/>
        </w:rPr>
        <w:t xml:space="preserve"> in the host State and, for frontier workers, the State of work (either the UK or an EU27 Member State) under Title III of Directive 2005/36/EC</w:t>
      </w:r>
      <w:r w:rsidR="00B8787A" w:rsidRPr="00B0304D">
        <w:rPr>
          <w:sz w:val="24"/>
        </w:rPr>
        <w:fldChar w:fldCharType="begin"/>
      </w:r>
      <w:r w:rsidR="00421C2D" w:rsidRPr="00B0304D">
        <w:instrText xml:space="preserve"> XE "</w:instrText>
      </w:r>
      <w:r w:rsidR="00421C2D" w:rsidRPr="00B0304D">
        <w:rPr>
          <w:sz w:val="24"/>
        </w:rPr>
        <w:instrText>Directive 2005/36/EC</w:instrText>
      </w:r>
      <w:r w:rsidR="00421C2D" w:rsidRPr="00B0304D">
        <w:instrText xml:space="preserve">" </w:instrText>
      </w:r>
      <w:r w:rsidR="00B8787A" w:rsidRPr="00B0304D">
        <w:rPr>
          <w:sz w:val="24"/>
        </w:rPr>
        <w:fldChar w:fldCharType="end"/>
      </w:r>
      <w:r w:rsidRPr="00B0304D">
        <w:rPr>
          <w:sz w:val="24"/>
        </w:rPr>
        <w:t xml:space="preserve"> (recognition of professional qualifications where the person concerned was exercising the freedom of establishment), Article 10 of Directive </w:t>
      </w:r>
      <w:bookmarkStart w:id="8" w:name="ixeXEField"/>
      <w:r w:rsidRPr="00B0304D">
        <w:rPr>
          <w:sz w:val="24"/>
        </w:rPr>
        <w:t>98/5/EC (lawyers</w:t>
      </w:r>
      <w:r w:rsidR="00B8787A" w:rsidRPr="00B0304D">
        <w:rPr>
          <w:sz w:val="24"/>
        </w:rPr>
        <w:fldChar w:fldCharType="begin"/>
      </w:r>
      <w:r w:rsidR="00421C2D" w:rsidRPr="00B0304D">
        <w:instrText xml:space="preserve"> XE </w:instrText>
      </w:r>
      <w:r w:rsidR="00F04BD6" w:rsidRPr="00B0304D">
        <w:instrText>“citizens’</w:instrText>
      </w:r>
      <w:r w:rsidR="004E618B" w:rsidRPr="00B0304D">
        <w:rPr>
          <w:lang w:val="en-GB"/>
        </w:rPr>
        <w:instrText xml:space="preserve"> rights:</w:instrText>
      </w:r>
      <w:r w:rsidR="00421C2D" w:rsidRPr="00B0304D">
        <w:rPr>
          <w:sz w:val="24"/>
        </w:rPr>
        <w:instrText>lawyers</w:instrText>
      </w:r>
      <w:r w:rsidR="00421C2D" w:rsidRPr="00B0304D">
        <w:instrText xml:space="preserve">" </w:instrText>
      </w:r>
      <w:r w:rsidR="00B8787A" w:rsidRPr="00B0304D">
        <w:rPr>
          <w:sz w:val="24"/>
        </w:rPr>
        <w:fldChar w:fldCharType="end"/>
      </w:r>
      <w:r w:rsidRPr="00B0304D">
        <w:rPr>
          <w:sz w:val="24"/>
        </w:rPr>
        <w:t xml:space="preserve"> who gained admission to the host State profession and are allowed  </w:t>
      </w:r>
      <w:bookmarkEnd w:id="8"/>
      <w:r w:rsidRPr="00B0304D">
        <w:rPr>
          <w:sz w:val="24"/>
        </w:rPr>
        <w:t xml:space="preserve">to </w:t>
      </w:r>
      <w:proofErr w:type="spellStart"/>
      <w:r w:rsidRPr="00B0304D">
        <w:rPr>
          <w:sz w:val="24"/>
        </w:rPr>
        <w:t>practise</w:t>
      </w:r>
      <w:proofErr w:type="spellEnd"/>
      <w:r w:rsidRPr="00B0304D">
        <w:rPr>
          <w:sz w:val="24"/>
        </w:rPr>
        <w:t xml:space="preserve"> under the host State title alongside their home State title) and Article 14 of Directive 2006/43/EC</w:t>
      </w:r>
      <w:r w:rsidR="00B8787A" w:rsidRPr="00B0304D">
        <w:rPr>
          <w:sz w:val="24"/>
        </w:rPr>
        <w:fldChar w:fldCharType="begin"/>
      </w:r>
      <w:r w:rsidR="00421C2D" w:rsidRPr="00B0304D">
        <w:instrText xml:space="preserve"> XE "</w:instrText>
      </w:r>
      <w:r w:rsidR="00421C2D" w:rsidRPr="00B0304D">
        <w:rPr>
          <w:sz w:val="24"/>
        </w:rPr>
        <w:instrText>Directive 2006/43/EC</w:instrText>
      </w:r>
      <w:r w:rsidR="00421C2D" w:rsidRPr="00B0304D">
        <w:instrText xml:space="preserve">" </w:instrText>
      </w:r>
      <w:r w:rsidR="00B8787A" w:rsidRPr="00B0304D">
        <w:rPr>
          <w:sz w:val="24"/>
        </w:rPr>
        <w:fldChar w:fldCharType="end"/>
      </w:r>
      <w:r w:rsidRPr="00B0304D">
        <w:rPr>
          <w:sz w:val="24"/>
        </w:rPr>
        <w:t xml:space="preserve"> (approved statutory auditors</w:t>
      </w:r>
      <w:r w:rsidR="00B8787A" w:rsidRPr="00B0304D">
        <w:rPr>
          <w:sz w:val="24"/>
        </w:rPr>
        <w:fldChar w:fldCharType="begin"/>
      </w:r>
      <w:r w:rsidR="00F04BD6" w:rsidRPr="00B0304D">
        <w:instrText xml:space="preserve"> XE “citizens’ rights:auditors" </w:instrText>
      </w:r>
      <w:r w:rsidR="00B8787A" w:rsidRPr="00B0304D">
        <w:rPr>
          <w:sz w:val="24"/>
        </w:rPr>
        <w:fldChar w:fldCharType="end"/>
      </w:r>
      <w:r w:rsidRPr="00B0304D">
        <w:rPr>
          <w:sz w:val="24"/>
        </w:rPr>
        <w:t>) will be grandfathered.  Recognition procedures under these Directives that are ongoing on the specified date</w:t>
      </w:r>
      <w:r w:rsidR="00B8787A" w:rsidRPr="00B0304D">
        <w:rPr>
          <w:sz w:val="24"/>
        </w:rPr>
        <w:fldChar w:fldCharType="begin"/>
      </w:r>
      <w:r w:rsidR="00421C2D" w:rsidRPr="00B0304D">
        <w:instrText xml:space="preserve"> XE "</w:instrText>
      </w:r>
      <w:r w:rsidR="00421C2D" w:rsidRPr="00B0304D">
        <w:rPr>
          <w:sz w:val="24"/>
        </w:rPr>
        <w:instrText>specified date</w:instrText>
      </w:r>
      <w:r w:rsidR="00F35CAE" w:rsidRPr="00B0304D">
        <w:rPr>
          <w:sz w:val="24"/>
        </w:rPr>
        <w:instrText>:qualifications</w:instrText>
      </w:r>
      <w:r w:rsidR="00421C2D" w:rsidRPr="00B0304D">
        <w:instrText xml:space="preserve">" </w:instrText>
      </w:r>
      <w:r w:rsidR="00B8787A" w:rsidRPr="00B0304D">
        <w:rPr>
          <w:sz w:val="24"/>
        </w:rPr>
        <w:fldChar w:fldCharType="end"/>
      </w:r>
      <w:r w:rsidRPr="00B0304D">
        <w:rPr>
          <w:sz w:val="24"/>
        </w:rPr>
        <w:t>, in respect of the persons covered, will be completed under Union law and will be grandfathered.</w:t>
      </w:r>
    </w:p>
    <w:p w:rsidR="00AE6D8C" w:rsidRPr="00B0304D" w:rsidRDefault="00AE6D8C">
      <w:pPr>
        <w:pStyle w:val="BodyText"/>
        <w:rPr>
          <w:sz w:val="26"/>
        </w:rPr>
      </w:pPr>
    </w:p>
    <w:p w:rsidR="00AE6D8C" w:rsidRPr="00B0304D" w:rsidRDefault="002E60BA">
      <w:pPr>
        <w:pStyle w:val="Heading2"/>
        <w:spacing w:before="178"/>
      </w:pPr>
      <w:r w:rsidRPr="00B0304D">
        <w:t>Legal effects of the citizens' rights Part</w:t>
      </w:r>
    </w:p>
    <w:p w:rsidR="00AE6D8C" w:rsidRPr="00B0304D" w:rsidRDefault="002E60BA">
      <w:pPr>
        <w:pStyle w:val="ListParagraph"/>
        <w:numPr>
          <w:ilvl w:val="0"/>
          <w:numId w:val="1"/>
        </w:numPr>
        <w:tabs>
          <w:tab w:val="left" w:pos="837"/>
        </w:tabs>
        <w:spacing w:before="114"/>
        <w:ind w:right="118"/>
        <w:jc w:val="both"/>
        <w:rPr>
          <w:sz w:val="24"/>
        </w:rPr>
      </w:pPr>
      <w:r w:rsidRPr="00B0304D">
        <w:rPr>
          <w:sz w:val="24"/>
        </w:rPr>
        <w:t xml:space="preserve">It is of paramount importance to both Parties to give as much certainty as possible to UK citizens living in the </w:t>
      </w:r>
      <w:r w:rsidR="00B8787A" w:rsidRPr="00B0304D">
        <w:rPr>
          <w:sz w:val="24"/>
        </w:rPr>
        <w:fldChar w:fldCharType="begin"/>
      </w:r>
      <w:r w:rsidR="009607D0" w:rsidRPr="00B0304D">
        <w:instrText xml:space="preserve"> XE </w:instrText>
      </w:r>
      <w:r w:rsidR="00F04BD6" w:rsidRPr="00B0304D">
        <w:instrText>“citizens’</w:instrText>
      </w:r>
      <w:r w:rsidR="009607D0" w:rsidRPr="00B0304D">
        <w:instrText xml:space="preserve"> rights:EU citizens li</w:instrText>
      </w:r>
      <w:r w:rsidR="00A972B9" w:rsidRPr="00B0304D">
        <w:instrText>v</w:instrText>
      </w:r>
      <w:r w:rsidR="009607D0" w:rsidRPr="00B0304D">
        <w:instrText xml:space="preserve">ing in the UK" </w:instrText>
      </w:r>
      <w:r w:rsidR="00B8787A" w:rsidRPr="00B0304D">
        <w:rPr>
          <w:sz w:val="24"/>
        </w:rPr>
        <w:fldChar w:fldCharType="end"/>
      </w:r>
      <w:r w:rsidR="00B8787A" w:rsidRPr="00B0304D">
        <w:rPr>
          <w:sz w:val="24"/>
        </w:rPr>
        <w:fldChar w:fldCharType="begin"/>
      </w:r>
      <w:r w:rsidR="009607D0" w:rsidRPr="00B0304D">
        <w:instrText xml:space="preserve"> XE </w:instrText>
      </w:r>
      <w:r w:rsidR="00F04BD6" w:rsidRPr="00B0304D">
        <w:instrText>“citizens’</w:instrText>
      </w:r>
      <w:r w:rsidR="00B93B25" w:rsidRPr="00B0304D">
        <w:instrText xml:space="preserve"> rights:UK citizens liv</w:instrText>
      </w:r>
      <w:r w:rsidR="009607D0" w:rsidRPr="00B0304D">
        <w:instrText xml:space="preserve">ing in the EU" </w:instrText>
      </w:r>
      <w:r w:rsidR="00B8787A" w:rsidRPr="00B0304D">
        <w:rPr>
          <w:sz w:val="24"/>
        </w:rPr>
        <w:fldChar w:fldCharType="end"/>
      </w:r>
      <w:r w:rsidRPr="00B0304D">
        <w:rPr>
          <w:sz w:val="24"/>
        </w:rPr>
        <w:t>EU and EU citizens living in the UK about their future rights. The Parties have therefore reached agreement on the following specific set of arrangements to implement and enforce the citizens’ rights Part of the</w:t>
      </w:r>
      <w:r w:rsidRPr="00B0304D">
        <w:rPr>
          <w:spacing w:val="-14"/>
          <w:sz w:val="24"/>
        </w:rPr>
        <w:t xml:space="preserve"> </w:t>
      </w:r>
      <w:r w:rsidRPr="00B0304D">
        <w:rPr>
          <w:sz w:val="24"/>
        </w:rPr>
        <w:t>agreement.</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9"/>
        <w:jc w:val="both"/>
        <w:rPr>
          <w:sz w:val="24"/>
        </w:rPr>
      </w:pPr>
      <w:r w:rsidRPr="00B0304D">
        <w:rPr>
          <w:sz w:val="24"/>
        </w:rPr>
        <w:t>Both Parties agree that the Withdrawal Agreement should provide for the legal effects of the citizens' rights Part both in the UK and in the Union. UK domestic legislation should also be enacted to this</w:t>
      </w:r>
      <w:r w:rsidRPr="00B0304D">
        <w:rPr>
          <w:spacing w:val="-9"/>
          <w:sz w:val="24"/>
        </w:rPr>
        <w:t xml:space="preserve"> </w:t>
      </w:r>
      <w:r w:rsidRPr="00B0304D">
        <w:rPr>
          <w:sz w:val="24"/>
        </w:rPr>
        <w:t>effect.</w:t>
      </w:r>
    </w:p>
    <w:p w:rsidR="00AE6D8C" w:rsidRPr="00B0304D" w:rsidRDefault="00AE6D8C">
      <w:pPr>
        <w:pStyle w:val="BodyText"/>
      </w:pPr>
    </w:p>
    <w:p w:rsidR="00AE6D8C" w:rsidRPr="00B0304D" w:rsidRDefault="002E60BA">
      <w:pPr>
        <w:pStyle w:val="ListParagraph"/>
        <w:numPr>
          <w:ilvl w:val="0"/>
          <w:numId w:val="1"/>
        </w:numPr>
        <w:tabs>
          <w:tab w:val="left" w:pos="837"/>
        </w:tabs>
        <w:ind w:right="123"/>
        <w:jc w:val="both"/>
        <w:rPr>
          <w:sz w:val="24"/>
        </w:rPr>
      </w:pPr>
      <w:r w:rsidRPr="00B0304D">
        <w:rPr>
          <w:sz w:val="24"/>
        </w:rPr>
        <w:t>The provision in the Agreement should enable citizens to rely directly on their rights  as set out in the citizens' rights Part of the Agreement and should specify that inconsistent or incompat</w:t>
      </w:r>
      <w:r w:rsidR="00B8787A" w:rsidRPr="00B0304D">
        <w:rPr>
          <w:sz w:val="24"/>
        </w:rPr>
        <w:fldChar w:fldCharType="begin"/>
      </w:r>
      <w:r w:rsidR="009607D0" w:rsidRPr="00B0304D">
        <w:instrText xml:space="preserve"> XE "Withdrawal Agreement &amp; Implementation Bill" </w:instrText>
      </w:r>
      <w:r w:rsidR="00B8787A" w:rsidRPr="00B0304D">
        <w:rPr>
          <w:sz w:val="24"/>
        </w:rPr>
        <w:fldChar w:fldCharType="end"/>
      </w:r>
      <w:r w:rsidR="00B8787A" w:rsidRPr="00B0304D">
        <w:rPr>
          <w:sz w:val="24"/>
        </w:rPr>
        <w:fldChar w:fldCharType="begin"/>
      </w:r>
      <w:r w:rsidR="009607D0" w:rsidRPr="00B0304D">
        <w:instrText xml:space="preserve"> XE </w:instrText>
      </w:r>
      <w:r w:rsidR="00F04BD6" w:rsidRPr="00B0304D">
        <w:instrText>“citizens’</w:instrText>
      </w:r>
      <w:r w:rsidR="009607D0" w:rsidRPr="00B0304D">
        <w:instrText xml:space="preserve"> rights:incompatible rules" </w:instrText>
      </w:r>
      <w:r w:rsidR="00B8787A" w:rsidRPr="00B0304D">
        <w:rPr>
          <w:sz w:val="24"/>
        </w:rPr>
        <w:fldChar w:fldCharType="end"/>
      </w:r>
      <w:r w:rsidR="00B8787A" w:rsidRPr="00B0304D">
        <w:rPr>
          <w:sz w:val="24"/>
        </w:rPr>
        <w:fldChar w:fldCharType="begin"/>
      </w:r>
      <w:r w:rsidR="009607D0" w:rsidRPr="00B0304D">
        <w:instrText xml:space="preserve"> XE </w:instrText>
      </w:r>
      <w:r w:rsidR="00F04BD6" w:rsidRPr="00B0304D">
        <w:instrText>“citizens’</w:instrText>
      </w:r>
      <w:r w:rsidR="009607D0" w:rsidRPr="00B0304D">
        <w:instrText xml:space="preserve"> rights:inconsistent rules" </w:instrText>
      </w:r>
      <w:r w:rsidR="00B8787A" w:rsidRPr="00B0304D">
        <w:rPr>
          <w:sz w:val="24"/>
        </w:rPr>
        <w:fldChar w:fldCharType="end"/>
      </w:r>
      <w:r w:rsidRPr="00B0304D">
        <w:rPr>
          <w:sz w:val="24"/>
        </w:rPr>
        <w:t>ible rules and provisions will be</w:t>
      </w:r>
      <w:r w:rsidRPr="00B0304D">
        <w:rPr>
          <w:spacing w:val="-9"/>
          <w:sz w:val="24"/>
        </w:rPr>
        <w:t xml:space="preserve"> </w:t>
      </w:r>
      <w:r w:rsidRPr="00B0304D">
        <w:rPr>
          <w:sz w:val="24"/>
        </w:rPr>
        <w:t>disapplied.</w:t>
      </w:r>
    </w:p>
    <w:p w:rsidR="00AE6D8C" w:rsidRPr="00B0304D" w:rsidRDefault="00AE6D8C">
      <w:pPr>
        <w:jc w:val="both"/>
        <w:rPr>
          <w:sz w:val="24"/>
        </w:rPr>
        <w:sectPr w:rsidR="00AE6D8C" w:rsidRPr="00B0304D">
          <w:pgSz w:w="11910" w:h="16840"/>
          <w:pgMar w:top="1320" w:right="1300" w:bottom="1240" w:left="1300" w:header="0" w:footer="1044" w:gutter="0"/>
          <w:cols w:space="720"/>
        </w:sectPr>
      </w:pPr>
    </w:p>
    <w:p w:rsidR="00AE6D8C" w:rsidRPr="00B0304D" w:rsidRDefault="002E60BA">
      <w:pPr>
        <w:pStyle w:val="ListParagraph"/>
        <w:numPr>
          <w:ilvl w:val="0"/>
          <w:numId w:val="1"/>
        </w:numPr>
        <w:tabs>
          <w:tab w:val="left" w:pos="837"/>
        </w:tabs>
        <w:spacing w:before="69"/>
        <w:jc w:val="both"/>
        <w:rPr>
          <w:sz w:val="24"/>
        </w:rPr>
      </w:pPr>
      <w:r w:rsidRPr="00B0304D">
        <w:rPr>
          <w:sz w:val="24"/>
        </w:rPr>
        <w:lastRenderedPageBreak/>
        <w:t xml:space="preserve">The UK Government will bring forward a Bill, the Withdrawal Agreement &amp; Implementation </w:t>
      </w:r>
      <w:r w:rsidR="00B8787A" w:rsidRPr="00B0304D">
        <w:rPr>
          <w:sz w:val="24"/>
        </w:rPr>
        <w:fldChar w:fldCharType="begin"/>
      </w:r>
      <w:r w:rsidR="009607D0" w:rsidRPr="00B0304D">
        <w:instrText xml:space="preserve"> XE "Withdrawal Agreement &amp; Implementation Bill" </w:instrText>
      </w:r>
      <w:r w:rsidR="00B8787A" w:rsidRPr="00B0304D">
        <w:rPr>
          <w:sz w:val="24"/>
        </w:rPr>
        <w:fldChar w:fldCharType="end"/>
      </w:r>
      <w:r w:rsidRPr="00B0304D">
        <w:rPr>
          <w:sz w:val="24"/>
        </w:rPr>
        <w:t>Bill, specifically to implement the Agreement. This Bill will make express reference to the Agreement and will fully incorporate the citizens' rights Part into UK law. Once this Bill has been adopted, the provisions of the citizens' rights Part will have effect in primary legislation and will prevail over inconsistent or incompatible legislation, unless Parliament expressly repeals this Act in future. The Withdrawal Agreement will be binding upon the institutions of the Union and on its Member States from its entry into force pursuant to Article 216(2)</w:t>
      </w:r>
      <w:r w:rsidRPr="00B0304D">
        <w:rPr>
          <w:spacing w:val="-17"/>
          <w:sz w:val="24"/>
        </w:rPr>
        <w:t xml:space="preserve"> </w:t>
      </w:r>
      <w:r w:rsidRPr="00B0304D">
        <w:rPr>
          <w:sz w:val="24"/>
        </w:rPr>
        <w:t>TFEU.</w:t>
      </w:r>
    </w:p>
    <w:p w:rsidR="00AE6D8C" w:rsidRPr="00B0304D" w:rsidRDefault="00AE6D8C">
      <w:pPr>
        <w:pStyle w:val="BodyText"/>
        <w:rPr>
          <w:sz w:val="26"/>
        </w:rPr>
      </w:pPr>
    </w:p>
    <w:p w:rsidR="00AE6D8C" w:rsidRPr="00B0304D" w:rsidRDefault="002E60BA">
      <w:pPr>
        <w:pStyle w:val="Heading2"/>
        <w:spacing w:before="180"/>
      </w:pPr>
      <w:r w:rsidRPr="00B0304D">
        <w:t>Consistent interpretation of the citizens' rights Part</w:t>
      </w:r>
    </w:p>
    <w:p w:rsidR="00AE6D8C" w:rsidRPr="00B0304D" w:rsidRDefault="002E60BA">
      <w:pPr>
        <w:pStyle w:val="ListParagraph"/>
        <w:numPr>
          <w:ilvl w:val="0"/>
          <w:numId w:val="1"/>
        </w:numPr>
        <w:tabs>
          <w:tab w:val="left" w:pos="837"/>
        </w:tabs>
        <w:spacing w:before="114"/>
        <w:ind w:right="115"/>
        <w:jc w:val="both"/>
        <w:rPr>
          <w:sz w:val="24"/>
        </w:rPr>
      </w:pPr>
      <w:r w:rsidRPr="00B0304D">
        <w:rPr>
          <w:sz w:val="24"/>
        </w:rPr>
        <w:t xml:space="preserve">The Agreement establishes rights for both UK citizens living in the EU and EU  citizens in the UK. To protect those rights and give citizens legal certainty, </w:t>
      </w:r>
      <w:proofErr w:type="gramStart"/>
      <w:r w:rsidRPr="00B0304D">
        <w:rPr>
          <w:sz w:val="24"/>
        </w:rPr>
        <w:t>a  consistent</w:t>
      </w:r>
      <w:proofErr w:type="gramEnd"/>
      <w:r w:rsidRPr="00B0304D">
        <w:rPr>
          <w:sz w:val="24"/>
        </w:rPr>
        <w:t xml:space="preserve"> interpretation</w:t>
      </w:r>
      <w:r w:rsidR="00B8787A" w:rsidRPr="00B0304D">
        <w:rPr>
          <w:sz w:val="24"/>
        </w:rPr>
        <w:fldChar w:fldCharType="begin"/>
      </w:r>
      <w:r w:rsidR="009607D0" w:rsidRPr="00B0304D">
        <w:instrText xml:space="preserve"> XE </w:instrText>
      </w:r>
      <w:r w:rsidR="00F04BD6" w:rsidRPr="00B0304D">
        <w:instrText>“citizens’</w:instrText>
      </w:r>
      <w:r w:rsidR="009607D0" w:rsidRPr="00B0304D">
        <w:instrText xml:space="preserve"> rights:consistent interpretation" </w:instrText>
      </w:r>
      <w:r w:rsidR="00B8787A" w:rsidRPr="00B0304D">
        <w:rPr>
          <w:sz w:val="24"/>
        </w:rPr>
        <w:fldChar w:fldCharType="end"/>
      </w:r>
      <w:r w:rsidRPr="00B0304D">
        <w:rPr>
          <w:sz w:val="24"/>
        </w:rPr>
        <w:t xml:space="preserve"> and application of the citizens' rights Part is in the interest of both Parties to the Agreement and therefore appropriate mechanisms should be established to ensure</w:t>
      </w:r>
      <w:r w:rsidRPr="00B0304D">
        <w:rPr>
          <w:spacing w:val="-3"/>
          <w:sz w:val="24"/>
        </w:rPr>
        <w:t xml:space="preserve"> </w:t>
      </w:r>
      <w:r w:rsidRPr="00B0304D">
        <w:rPr>
          <w:sz w:val="24"/>
        </w:rPr>
        <w:t>this.</w:t>
      </w:r>
    </w:p>
    <w:p w:rsidR="00AE6D8C" w:rsidRPr="00B0304D" w:rsidRDefault="00AE6D8C">
      <w:pPr>
        <w:pStyle w:val="BodyText"/>
        <w:spacing w:before="2"/>
      </w:pPr>
    </w:p>
    <w:p w:rsidR="00AE6D8C" w:rsidRPr="00B0304D" w:rsidRDefault="002E60BA">
      <w:pPr>
        <w:pStyle w:val="ListParagraph"/>
        <w:numPr>
          <w:ilvl w:val="0"/>
          <w:numId w:val="1"/>
        </w:numPr>
        <w:tabs>
          <w:tab w:val="left" w:pos="837"/>
        </w:tabs>
        <w:spacing w:line="276" w:lineRule="exact"/>
        <w:ind w:right="111"/>
        <w:jc w:val="both"/>
        <w:rPr>
          <w:sz w:val="24"/>
        </w:rPr>
      </w:pPr>
      <w:r w:rsidRPr="00B0304D">
        <w:rPr>
          <w:sz w:val="24"/>
        </w:rPr>
        <w:t>This Part of the Agreement establishes rights for citizens following on from those established in Union law during the UK’s membership of the European Union; the CJEU is the ultimate arbiter of the interpretation of Union law. In the context of the application or interpretation of those rights, UK courts shall therefore have due regard to relevant decisions of the CJEU af</w:t>
      </w:r>
      <w:r w:rsidR="00B8787A" w:rsidRPr="00B0304D">
        <w:rPr>
          <w:sz w:val="24"/>
        </w:rPr>
        <w:fldChar w:fldCharType="begin"/>
      </w:r>
      <w:r w:rsidR="009607D0" w:rsidRPr="00B0304D">
        <w:instrText xml:space="preserve"> XE "UK Courts and the CJEU" </w:instrText>
      </w:r>
      <w:r w:rsidR="00B8787A" w:rsidRPr="00B0304D">
        <w:rPr>
          <w:sz w:val="24"/>
        </w:rPr>
        <w:fldChar w:fldCharType="end"/>
      </w:r>
      <w:r w:rsidRPr="00B0304D">
        <w:rPr>
          <w:sz w:val="24"/>
        </w:rPr>
        <w:t>ter the specified date</w:t>
      </w:r>
      <w:r w:rsidRPr="00B0304D">
        <w:rPr>
          <w:position w:val="11"/>
          <w:sz w:val="16"/>
        </w:rPr>
        <w:t>4</w:t>
      </w:r>
      <w:r w:rsidRPr="00B0304D">
        <w:rPr>
          <w:sz w:val="24"/>
        </w:rPr>
        <w:t xml:space="preserve">. The Agreement should also establish a mechanism enabling UK courts or tribunals to decide, having had due regard to whether relevant case-law exists, to ask the CJEU questions of interpretation of those rights where they consider that a CJEU ruling on the question is necessary for the </w:t>
      </w:r>
      <w:r w:rsidRPr="00B0304D">
        <w:rPr>
          <w:spacing w:val="3"/>
          <w:sz w:val="24"/>
        </w:rPr>
        <w:t xml:space="preserve"> </w:t>
      </w:r>
      <w:r w:rsidRPr="00B0304D">
        <w:rPr>
          <w:sz w:val="24"/>
        </w:rPr>
        <w:t xml:space="preserve">UK </w:t>
      </w:r>
      <w:r w:rsidRPr="00B0304D">
        <w:rPr>
          <w:spacing w:val="5"/>
          <w:sz w:val="24"/>
        </w:rPr>
        <w:t xml:space="preserve"> </w:t>
      </w:r>
      <w:r w:rsidRPr="00B0304D">
        <w:rPr>
          <w:sz w:val="24"/>
        </w:rPr>
        <w:t xml:space="preserve">court </w:t>
      </w:r>
      <w:r w:rsidRPr="00B0304D">
        <w:rPr>
          <w:spacing w:val="3"/>
          <w:sz w:val="24"/>
        </w:rPr>
        <w:t xml:space="preserve"> </w:t>
      </w:r>
      <w:r w:rsidRPr="00B0304D">
        <w:rPr>
          <w:sz w:val="24"/>
        </w:rPr>
        <w:t xml:space="preserve">or </w:t>
      </w:r>
      <w:r w:rsidRPr="00B0304D">
        <w:rPr>
          <w:spacing w:val="2"/>
          <w:sz w:val="24"/>
        </w:rPr>
        <w:t xml:space="preserve"> </w:t>
      </w:r>
      <w:r w:rsidRPr="00B0304D">
        <w:rPr>
          <w:sz w:val="24"/>
        </w:rPr>
        <w:t xml:space="preserve">tribunal </w:t>
      </w:r>
      <w:r w:rsidRPr="00B0304D">
        <w:rPr>
          <w:spacing w:val="5"/>
          <w:sz w:val="24"/>
        </w:rPr>
        <w:t xml:space="preserve"> </w:t>
      </w:r>
      <w:r w:rsidRPr="00B0304D">
        <w:rPr>
          <w:sz w:val="24"/>
        </w:rPr>
        <w:t xml:space="preserve">to </w:t>
      </w:r>
      <w:r w:rsidRPr="00B0304D">
        <w:rPr>
          <w:spacing w:val="5"/>
          <w:sz w:val="24"/>
        </w:rPr>
        <w:t xml:space="preserve"> </w:t>
      </w:r>
      <w:r w:rsidRPr="00B0304D">
        <w:rPr>
          <w:sz w:val="24"/>
        </w:rPr>
        <w:t xml:space="preserve">be </w:t>
      </w:r>
      <w:r w:rsidRPr="00B0304D">
        <w:rPr>
          <w:spacing w:val="5"/>
          <w:sz w:val="24"/>
        </w:rPr>
        <w:t xml:space="preserve"> </w:t>
      </w:r>
      <w:r w:rsidRPr="00B0304D">
        <w:rPr>
          <w:sz w:val="24"/>
        </w:rPr>
        <w:t xml:space="preserve">able </w:t>
      </w:r>
      <w:r w:rsidRPr="00B0304D">
        <w:rPr>
          <w:spacing w:val="5"/>
          <w:sz w:val="24"/>
        </w:rPr>
        <w:t xml:space="preserve"> </w:t>
      </w:r>
      <w:r w:rsidRPr="00B0304D">
        <w:rPr>
          <w:sz w:val="24"/>
        </w:rPr>
        <w:t xml:space="preserve">to </w:t>
      </w:r>
      <w:r w:rsidRPr="00B0304D">
        <w:rPr>
          <w:spacing w:val="6"/>
          <w:sz w:val="24"/>
        </w:rPr>
        <w:t xml:space="preserve"> </w:t>
      </w:r>
      <w:r w:rsidRPr="00B0304D">
        <w:rPr>
          <w:sz w:val="24"/>
        </w:rPr>
        <w:t xml:space="preserve">give </w:t>
      </w:r>
      <w:r w:rsidRPr="00B0304D">
        <w:rPr>
          <w:spacing w:val="10"/>
          <w:sz w:val="24"/>
        </w:rPr>
        <w:t xml:space="preserve"> </w:t>
      </w:r>
      <w:r w:rsidRPr="00B0304D">
        <w:rPr>
          <w:sz w:val="24"/>
        </w:rPr>
        <w:t xml:space="preserve">judgment </w:t>
      </w:r>
      <w:r w:rsidRPr="00B0304D">
        <w:rPr>
          <w:spacing w:val="3"/>
          <w:sz w:val="24"/>
        </w:rPr>
        <w:t xml:space="preserve"> </w:t>
      </w:r>
      <w:r w:rsidRPr="00B0304D">
        <w:rPr>
          <w:sz w:val="24"/>
        </w:rPr>
        <w:t xml:space="preserve">in </w:t>
      </w:r>
      <w:r w:rsidRPr="00B0304D">
        <w:rPr>
          <w:spacing w:val="6"/>
          <w:sz w:val="24"/>
        </w:rPr>
        <w:t xml:space="preserve"> </w:t>
      </w:r>
      <w:r w:rsidRPr="00B0304D">
        <w:rPr>
          <w:sz w:val="24"/>
        </w:rPr>
        <w:t xml:space="preserve">a </w:t>
      </w:r>
      <w:r w:rsidRPr="00B0304D">
        <w:rPr>
          <w:spacing w:val="5"/>
          <w:sz w:val="24"/>
        </w:rPr>
        <w:t xml:space="preserve"> </w:t>
      </w:r>
      <w:r w:rsidRPr="00B0304D">
        <w:rPr>
          <w:sz w:val="24"/>
        </w:rPr>
        <w:t xml:space="preserve">case </w:t>
      </w:r>
      <w:r w:rsidRPr="00B0304D">
        <w:rPr>
          <w:spacing w:val="2"/>
          <w:sz w:val="24"/>
        </w:rPr>
        <w:t xml:space="preserve"> </w:t>
      </w:r>
      <w:r w:rsidRPr="00B0304D">
        <w:rPr>
          <w:sz w:val="24"/>
        </w:rPr>
        <w:t xml:space="preserve">before </w:t>
      </w:r>
      <w:r w:rsidRPr="00B0304D">
        <w:rPr>
          <w:spacing w:val="2"/>
          <w:sz w:val="24"/>
        </w:rPr>
        <w:t xml:space="preserve"> </w:t>
      </w:r>
      <w:r w:rsidRPr="00B0304D">
        <w:rPr>
          <w:sz w:val="24"/>
        </w:rPr>
        <w:t xml:space="preserve">it. </w:t>
      </w:r>
      <w:r w:rsidRPr="00B0304D">
        <w:rPr>
          <w:spacing w:val="3"/>
          <w:sz w:val="24"/>
        </w:rPr>
        <w:t xml:space="preserve"> </w:t>
      </w:r>
      <w:r w:rsidRPr="00B0304D">
        <w:rPr>
          <w:sz w:val="24"/>
        </w:rPr>
        <w:t>This</w:t>
      </w:r>
    </w:p>
    <w:p w:rsidR="00AE6D8C" w:rsidRPr="00B0304D" w:rsidRDefault="002E60BA">
      <w:pPr>
        <w:pStyle w:val="BodyText"/>
        <w:spacing w:line="237" w:lineRule="auto"/>
        <w:ind w:left="836" w:right="113"/>
      </w:pPr>
      <w:r w:rsidRPr="00B0304D">
        <w:t>mechanism should be available for UK courts or tribunals for litigation brought within 8 years from the date of application of the citizens' rights Part.</w:t>
      </w:r>
    </w:p>
    <w:p w:rsidR="00AE6D8C" w:rsidRPr="00B0304D" w:rsidRDefault="00AE6D8C">
      <w:pPr>
        <w:pStyle w:val="BodyText"/>
        <w:spacing w:before="1"/>
      </w:pPr>
    </w:p>
    <w:p w:rsidR="00AE6D8C" w:rsidRPr="00B0304D" w:rsidRDefault="002E60BA">
      <w:pPr>
        <w:pStyle w:val="ListParagraph"/>
        <w:numPr>
          <w:ilvl w:val="0"/>
          <w:numId w:val="1"/>
        </w:numPr>
        <w:tabs>
          <w:tab w:val="left" w:pos="837"/>
        </w:tabs>
        <w:jc w:val="both"/>
        <w:rPr>
          <w:sz w:val="24"/>
        </w:rPr>
      </w:pPr>
      <w:r w:rsidRPr="00B0304D">
        <w:rPr>
          <w:sz w:val="24"/>
        </w:rPr>
        <w:t>Consistent interpretation of the citizens' rights Part should further be supported and facilitated by an exchange of case law between the courts and regular judicial dialogue. In the same vein, it is envisaged to give the UK Government and</w:t>
      </w:r>
      <w:r w:rsidRPr="00B0304D">
        <w:rPr>
          <w:spacing w:val="42"/>
          <w:sz w:val="24"/>
        </w:rPr>
        <w:t xml:space="preserve"> </w:t>
      </w:r>
      <w:r w:rsidRPr="00B0304D">
        <w:rPr>
          <w:sz w:val="24"/>
        </w:rPr>
        <w:t>the European Commission the right to int</w:t>
      </w:r>
      <w:r w:rsidR="00B8787A" w:rsidRPr="00B0304D">
        <w:rPr>
          <w:sz w:val="24"/>
        </w:rPr>
        <w:fldChar w:fldCharType="begin"/>
      </w:r>
      <w:r w:rsidR="009607D0" w:rsidRPr="00B0304D">
        <w:instrText xml:space="preserve"> XE "UK Courts and the CJEU:intervention" </w:instrText>
      </w:r>
      <w:r w:rsidR="00B8787A" w:rsidRPr="00B0304D">
        <w:rPr>
          <w:sz w:val="24"/>
        </w:rPr>
        <w:fldChar w:fldCharType="end"/>
      </w:r>
      <w:r w:rsidRPr="00B0304D">
        <w:rPr>
          <w:sz w:val="24"/>
        </w:rPr>
        <w:t>ervene in relevant cases before the CJEU and before UK courts and tribunals</w:t>
      </w:r>
      <w:r w:rsidRPr="00B0304D">
        <w:rPr>
          <w:spacing w:val="-7"/>
          <w:sz w:val="24"/>
        </w:rPr>
        <w:t xml:space="preserve"> </w:t>
      </w:r>
      <w:r w:rsidRPr="00B0304D">
        <w:rPr>
          <w:sz w:val="24"/>
        </w:rPr>
        <w:t>respectively.</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jc w:val="both"/>
        <w:rPr>
          <w:sz w:val="24"/>
        </w:rPr>
      </w:pPr>
      <w:r w:rsidRPr="00B0304D">
        <w:rPr>
          <w:sz w:val="24"/>
        </w:rPr>
        <w:t xml:space="preserve">The implementation and application of the citizens' rights Part will be monitored in the Union by the Commission acting in conformity with the Union Treaties. </w:t>
      </w:r>
      <w:r w:rsidRPr="00B0304D">
        <w:rPr>
          <w:spacing w:val="-3"/>
          <w:sz w:val="24"/>
        </w:rPr>
        <w:t xml:space="preserve">In </w:t>
      </w:r>
      <w:r w:rsidRPr="00B0304D">
        <w:rPr>
          <w:sz w:val="24"/>
        </w:rPr>
        <w:t>the UK, this role will be fulfilled by an independent national authority; its scope and functions, including its role in acting on citizens' complaints, will be discussed between the parties in the next phase of the negotiations and reflected in the Withdrawal Agreement. There should be regular exchange of information between the UK Government and the</w:t>
      </w:r>
      <w:r w:rsidRPr="00B0304D">
        <w:rPr>
          <w:spacing w:val="-4"/>
          <w:sz w:val="24"/>
        </w:rPr>
        <w:t xml:space="preserve"> </w:t>
      </w:r>
      <w:r w:rsidRPr="00B0304D">
        <w:rPr>
          <w:sz w:val="24"/>
        </w:rPr>
        <w:t>Commission.</w:t>
      </w:r>
    </w:p>
    <w:p w:rsidR="00AE6D8C" w:rsidRPr="00B0304D" w:rsidRDefault="00AE6D8C">
      <w:pPr>
        <w:pStyle w:val="BodyText"/>
      </w:pPr>
    </w:p>
    <w:p w:rsidR="00AE6D8C" w:rsidRPr="00B0304D" w:rsidRDefault="002E60BA">
      <w:pPr>
        <w:pStyle w:val="ListParagraph"/>
        <w:numPr>
          <w:ilvl w:val="0"/>
          <w:numId w:val="1"/>
        </w:numPr>
        <w:tabs>
          <w:tab w:val="left" w:pos="837"/>
        </w:tabs>
        <w:ind w:right="117"/>
        <w:jc w:val="both"/>
        <w:rPr>
          <w:sz w:val="24"/>
        </w:rPr>
      </w:pPr>
      <w:r w:rsidRPr="00B0304D">
        <w:rPr>
          <w:sz w:val="24"/>
        </w:rPr>
        <w:t>The approach agreed in the context of the citizens' rights Part of the Withdrawal Agreement reflects both Parties’ desire to give those citizens certainty. It in no way prejudges  discussions  on  other  elements  of  the  Withdrawal  Agreement,</w:t>
      </w:r>
      <w:r w:rsidRPr="00B0304D">
        <w:rPr>
          <w:spacing w:val="47"/>
          <w:sz w:val="24"/>
        </w:rPr>
        <w:t xml:space="preserve"> </w:t>
      </w:r>
      <w:r w:rsidRPr="00B0304D">
        <w:rPr>
          <w:sz w:val="24"/>
        </w:rPr>
        <w:t>including</w:t>
      </w:r>
    </w:p>
    <w:p w:rsidR="00AE6D8C" w:rsidRPr="00B0304D" w:rsidRDefault="00AE6D8C">
      <w:pPr>
        <w:pStyle w:val="BodyText"/>
        <w:rPr>
          <w:sz w:val="20"/>
        </w:rPr>
      </w:pPr>
    </w:p>
    <w:p w:rsidR="00AE6D8C" w:rsidRPr="00B0304D" w:rsidRDefault="00AE6D8C">
      <w:pPr>
        <w:pStyle w:val="BodyText"/>
        <w:rPr>
          <w:sz w:val="20"/>
        </w:rPr>
      </w:pPr>
    </w:p>
    <w:p w:rsidR="00AE6D8C" w:rsidRPr="00B0304D" w:rsidRDefault="00AE6D8C">
      <w:pPr>
        <w:pStyle w:val="BodyText"/>
        <w:spacing w:before="8"/>
        <w:rPr>
          <w:sz w:val="19"/>
        </w:rPr>
      </w:pPr>
    </w:p>
    <w:p w:rsidR="00AE6D8C" w:rsidRPr="00B0304D" w:rsidRDefault="002E60BA">
      <w:pPr>
        <w:spacing w:before="96"/>
        <w:ind w:left="116"/>
        <w:rPr>
          <w:sz w:val="20"/>
        </w:rPr>
      </w:pPr>
      <w:r w:rsidRPr="00B0304D">
        <w:rPr>
          <w:position w:val="9"/>
          <w:sz w:val="13"/>
        </w:rPr>
        <w:t xml:space="preserve">4 </w:t>
      </w:r>
      <w:r w:rsidRPr="00B0304D">
        <w:rPr>
          <w:sz w:val="20"/>
        </w:rPr>
        <w:t>According to paragraph 9 of this report, the use of Union law concepts in the citizens’ rights Part of the Withdrawal Agreement is to be interpreted in line with the case law of the CJEU by the specified date</w:t>
      </w:r>
      <w:r w:rsidR="00B8787A" w:rsidRPr="00B0304D">
        <w:rPr>
          <w:sz w:val="20"/>
        </w:rPr>
        <w:fldChar w:fldCharType="begin"/>
      </w:r>
      <w:r w:rsidR="00421C2D" w:rsidRPr="00B0304D">
        <w:instrText xml:space="preserve"> XE "</w:instrText>
      </w:r>
      <w:r w:rsidR="00421C2D" w:rsidRPr="00B0304D">
        <w:rPr>
          <w:sz w:val="24"/>
        </w:rPr>
        <w:instrText>specified date</w:instrText>
      </w:r>
      <w:r w:rsidR="009331FC" w:rsidRPr="00B0304D">
        <w:rPr>
          <w:sz w:val="24"/>
        </w:rPr>
        <w:instrText>:citizens’ rights</w:instrText>
      </w:r>
      <w:r w:rsidR="00421C2D" w:rsidRPr="00B0304D">
        <w:instrText xml:space="preserve">" </w:instrText>
      </w:r>
      <w:r w:rsidR="00B8787A" w:rsidRPr="00B0304D">
        <w:rPr>
          <w:sz w:val="20"/>
        </w:rPr>
        <w:fldChar w:fldCharType="end"/>
      </w:r>
      <w:r w:rsidRPr="00B0304D">
        <w:rPr>
          <w:sz w:val="20"/>
        </w:rPr>
        <w:t>.</w:t>
      </w:r>
    </w:p>
    <w:p w:rsidR="00AE6D8C" w:rsidRPr="00B0304D" w:rsidRDefault="00AE6D8C">
      <w:pPr>
        <w:rPr>
          <w:sz w:val="20"/>
        </w:rPr>
        <w:sectPr w:rsidR="00AE6D8C" w:rsidRPr="00B0304D">
          <w:pgSz w:w="11910" w:h="16840"/>
          <w:pgMar w:top="1320" w:right="1300" w:bottom="1240" w:left="1300" w:header="0" w:footer="1044" w:gutter="0"/>
          <w:cols w:space="720"/>
        </w:sectPr>
      </w:pPr>
    </w:p>
    <w:p w:rsidR="00AE6D8C" w:rsidRPr="00B0304D" w:rsidRDefault="002E60BA">
      <w:pPr>
        <w:pStyle w:val="BodyText"/>
        <w:spacing w:before="69" w:line="242" w:lineRule="auto"/>
        <w:ind w:left="836"/>
      </w:pPr>
      <w:r w:rsidRPr="00B0304D">
        <w:lastRenderedPageBreak/>
        <w:t>governance, other separation issues or any possible transitional arrangements, nor discussions on the future relationship.</w:t>
      </w:r>
    </w:p>
    <w:bookmarkEnd w:id="5"/>
    <w:bookmarkEnd w:id="6"/>
    <w:p w:rsidR="00AE6D8C" w:rsidRPr="00B0304D" w:rsidRDefault="00AE6D8C">
      <w:pPr>
        <w:pStyle w:val="BodyText"/>
        <w:rPr>
          <w:sz w:val="26"/>
        </w:rPr>
      </w:pPr>
    </w:p>
    <w:bookmarkStart w:id="9" w:name="idxIreland"/>
    <w:bookmarkEnd w:id="1"/>
    <w:bookmarkEnd w:id="2"/>
    <w:bookmarkEnd w:id="3"/>
    <w:bookmarkEnd w:id="4"/>
    <w:p w:rsidR="00AE6D8C" w:rsidRPr="00B0304D" w:rsidRDefault="00B8787A">
      <w:pPr>
        <w:pStyle w:val="BodyText"/>
        <w:spacing w:before="4"/>
        <w:rPr>
          <w:sz w:val="26"/>
        </w:rPr>
      </w:pPr>
      <w:r w:rsidRPr="00B0304D">
        <w:rPr>
          <w:sz w:val="26"/>
        </w:rPr>
        <w:fldChar w:fldCharType="begin"/>
      </w:r>
      <w:r w:rsidR="005554A1" w:rsidRPr="00B0304D">
        <w:instrText xml:space="preserve"> XE "Ireland and Northern Ireland" \r "idxIreland" </w:instrText>
      </w:r>
      <w:r w:rsidRPr="00B0304D">
        <w:rPr>
          <w:sz w:val="26"/>
        </w:rPr>
        <w:fldChar w:fldCharType="end"/>
      </w:r>
    </w:p>
    <w:p w:rsidR="00AE6D8C" w:rsidRPr="00B0304D" w:rsidRDefault="002E60BA">
      <w:pPr>
        <w:pStyle w:val="Heading1"/>
      </w:pPr>
      <w:r w:rsidRPr="00B0304D">
        <w:t>Ireland and Northern Ireland</w:t>
      </w:r>
    </w:p>
    <w:p w:rsidR="00AE6D8C" w:rsidRPr="00B0304D" w:rsidRDefault="00AE6D8C">
      <w:pPr>
        <w:pStyle w:val="BodyText"/>
        <w:spacing w:before="8"/>
        <w:rPr>
          <w:b/>
          <w:sz w:val="40"/>
        </w:rPr>
      </w:pPr>
    </w:p>
    <w:p w:rsidR="00AE6D8C" w:rsidRPr="00B0304D" w:rsidRDefault="002E60BA">
      <w:pPr>
        <w:pStyle w:val="ListParagraph"/>
        <w:numPr>
          <w:ilvl w:val="0"/>
          <w:numId w:val="1"/>
        </w:numPr>
        <w:tabs>
          <w:tab w:val="left" w:pos="837"/>
        </w:tabs>
        <w:ind w:right="109"/>
        <w:jc w:val="both"/>
        <w:rPr>
          <w:sz w:val="24"/>
        </w:rPr>
      </w:pPr>
      <w:r w:rsidRPr="00B0304D">
        <w:rPr>
          <w:sz w:val="24"/>
        </w:rPr>
        <w:t xml:space="preserve">Both Parties affirm that the achievements, benefits and commitments of the </w:t>
      </w:r>
      <w:r w:rsidR="00B8787A" w:rsidRPr="00B0304D">
        <w:rPr>
          <w:sz w:val="24"/>
        </w:rPr>
        <w:fldChar w:fldCharType="begin"/>
      </w:r>
      <w:r w:rsidR="00F018BF" w:rsidRPr="00B0304D">
        <w:instrText xml:space="preserve"> XE "Ireland and Northern Ireland:peace process" </w:instrText>
      </w:r>
      <w:r w:rsidR="00B8787A" w:rsidRPr="00B0304D">
        <w:rPr>
          <w:sz w:val="24"/>
        </w:rPr>
        <w:fldChar w:fldCharType="end"/>
      </w:r>
      <w:r w:rsidRPr="00B0304D">
        <w:rPr>
          <w:sz w:val="24"/>
        </w:rPr>
        <w:t>peace process will remain of paramount importance to peace, stability and reconciliation. They agree that the Good Friday</w:t>
      </w:r>
      <w:r w:rsidR="00B8787A" w:rsidRPr="00B0304D">
        <w:rPr>
          <w:sz w:val="24"/>
        </w:rPr>
        <w:fldChar w:fldCharType="begin"/>
      </w:r>
      <w:r w:rsidR="00F018BF" w:rsidRPr="00B0304D">
        <w:instrText xml:space="preserve"> XE "Ireland and Northern Ireland:Good Friday agreement" </w:instrText>
      </w:r>
      <w:r w:rsidR="00B8787A" w:rsidRPr="00B0304D">
        <w:rPr>
          <w:sz w:val="24"/>
        </w:rPr>
        <w:fldChar w:fldCharType="end"/>
      </w:r>
      <w:r w:rsidRPr="00B0304D">
        <w:rPr>
          <w:sz w:val="24"/>
        </w:rPr>
        <w:t xml:space="preserve"> or Belfast Agreement reached on 10 April 1998 by the United Kingdom Government, the Irish Government and the other participants in the multi-party negotiations (the '1998 Agreement'</w:t>
      </w:r>
      <w:r w:rsidR="00B8787A" w:rsidRPr="00B0304D">
        <w:rPr>
          <w:sz w:val="24"/>
        </w:rPr>
        <w:fldChar w:fldCharType="begin"/>
      </w:r>
      <w:r w:rsidR="00F018BF" w:rsidRPr="00B0304D">
        <w:instrText xml:space="preserve"> XE</w:instrText>
      </w:r>
      <w:r w:rsidR="00F35CAE" w:rsidRPr="00B0304D">
        <w:instrText xml:space="preserve"> "Ireland and Northern Ireland:</w:instrText>
      </w:r>
      <w:r w:rsidR="00F018BF" w:rsidRPr="00B0304D">
        <w:instrText xml:space="preserve">1998 Agreement" </w:instrText>
      </w:r>
      <w:r w:rsidR="00B8787A" w:rsidRPr="00B0304D">
        <w:rPr>
          <w:sz w:val="24"/>
        </w:rPr>
        <w:fldChar w:fldCharType="end"/>
      </w:r>
      <w:r w:rsidRPr="00B0304D">
        <w:rPr>
          <w:sz w:val="24"/>
        </w:rPr>
        <w:t>) must be protected in all its parts, and that this extends to the practical application of the 1998 Agreement on the island  of Ireland and to the totality of the relationships set out in the</w:t>
      </w:r>
      <w:r w:rsidRPr="00B0304D">
        <w:rPr>
          <w:spacing w:val="-16"/>
          <w:sz w:val="24"/>
        </w:rPr>
        <w:t xml:space="preserve"> </w:t>
      </w:r>
      <w:r w:rsidRPr="00B0304D">
        <w:rPr>
          <w:sz w:val="24"/>
        </w:rPr>
        <w:t>Agreement.</w:t>
      </w:r>
    </w:p>
    <w:p w:rsidR="00AE6D8C" w:rsidRPr="00B0304D" w:rsidRDefault="00AE6D8C">
      <w:pPr>
        <w:pStyle w:val="BodyText"/>
      </w:pPr>
    </w:p>
    <w:p w:rsidR="00AE6D8C" w:rsidRPr="00B0304D" w:rsidRDefault="002E60BA" w:rsidP="009331FC">
      <w:pPr>
        <w:pStyle w:val="ListParagraph"/>
        <w:numPr>
          <w:ilvl w:val="0"/>
          <w:numId w:val="1"/>
        </w:numPr>
        <w:tabs>
          <w:tab w:val="left" w:pos="837"/>
        </w:tabs>
        <w:jc w:val="both"/>
        <w:rPr>
          <w:sz w:val="24"/>
        </w:rPr>
      </w:pPr>
      <w:r w:rsidRPr="00B0304D">
        <w:rPr>
          <w:sz w:val="24"/>
        </w:rPr>
        <w:t xml:space="preserve">The United Kingdom’s withdrawal from the European Union presents a significant and unique challenge in relation to the island of Ireland. The United Kingdom recalls its commitment to protecting the operation of the </w:t>
      </w:r>
      <w:r w:rsidR="00B8787A" w:rsidRPr="00B0304D">
        <w:rPr>
          <w:sz w:val="24"/>
        </w:rPr>
        <w:fldChar w:fldCharType="begin"/>
      </w:r>
      <w:r w:rsidR="00F018BF" w:rsidRPr="00B0304D">
        <w:instrText xml:space="preserve"> XE</w:instrText>
      </w:r>
      <w:r w:rsidR="009331FC" w:rsidRPr="00B0304D">
        <w:instrText xml:space="preserve"> "Ireland and Northern Ireland:</w:instrText>
      </w:r>
      <w:r w:rsidR="00F018BF" w:rsidRPr="00B0304D">
        <w:instrText>1998 A</w:instrText>
      </w:r>
      <w:r w:rsidR="00F35CAE" w:rsidRPr="00B0304D">
        <w:instrText>greement</w:instrText>
      </w:r>
      <w:r w:rsidR="00F018BF" w:rsidRPr="00B0304D">
        <w:instrText xml:space="preserve">" </w:instrText>
      </w:r>
      <w:r w:rsidR="00B8787A" w:rsidRPr="00B0304D">
        <w:rPr>
          <w:sz w:val="24"/>
        </w:rPr>
        <w:fldChar w:fldCharType="end"/>
      </w:r>
      <w:r w:rsidRPr="00B0304D">
        <w:rPr>
          <w:sz w:val="24"/>
        </w:rPr>
        <w:t>1998 Agreement, including its subsequent implementation agreements and arrangements, and to the effective operation of each of the institutions and bodies established under them. The United Kingdom also recalls its commitment to the avoidance of a hard border</w:t>
      </w:r>
      <w:r w:rsidR="00B8787A" w:rsidRPr="00B0304D">
        <w:rPr>
          <w:sz w:val="24"/>
        </w:rPr>
        <w:fldChar w:fldCharType="begin"/>
      </w:r>
      <w:r w:rsidR="00F018BF" w:rsidRPr="00B0304D">
        <w:instrText xml:space="preserve"> XE "Ireland and Northern Ireland:avoidance of hard border" </w:instrText>
      </w:r>
      <w:r w:rsidR="00B8787A" w:rsidRPr="00B0304D">
        <w:rPr>
          <w:sz w:val="24"/>
        </w:rPr>
        <w:fldChar w:fldCharType="end"/>
      </w:r>
      <w:r w:rsidRPr="00B0304D">
        <w:rPr>
          <w:sz w:val="24"/>
        </w:rPr>
        <w:t>, including any physical infrastructure or related checks and</w:t>
      </w:r>
      <w:r w:rsidRPr="00B0304D">
        <w:rPr>
          <w:spacing w:val="-8"/>
          <w:sz w:val="24"/>
        </w:rPr>
        <w:t xml:space="preserve"> </w:t>
      </w:r>
      <w:r w:rsidRPr="00B0304D">
        <w:rPr>
          <w:sz w:val="24"/>
        </w:rPr>
        <w:t>controls.</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3"/>
        <w:jc w:val="both"/>
        <w:rPr>
          <w:sz w:val="24"/>
        </w:rPr>
      </w:pPr>
      <w:r w:rsidRPr="00B0304D">
        <w:rPr>
          <w:sz w:val="24"/>
        </w:rPr>
        <w:t>Both Parties recognise the need to respect the provisions of the 1998 Agreement</w:t>
      </w:r>
      <w:r w:rsidR="00B8787A" w:rsidRPr="00B0304D">
        <w:rPr>
          <w:sz w:val="24"/>
        </w:rPr>
        <w:fldChar w:fldCharType="begin"/>
      </w:r>
      <w:r w:rsidR="00F018BF" w:rsidRPr="00B0304D">
        <w:instrText xml:space="preserve"> XE "Ireland and Northern Ireland:1998 Agreement" </w:instrText>
      </w:r>
      <w:r w:rsidR="00B8787A" w:rsidRPr="00B0304D">
        <w:rPr>
          <w:sz w:val="24"/>
        </w:rPr>
        <w:fldChar w:fldCharType="end"/>
      </w:r>
      <w:r w:rsidRPr="00B0304D">
        <w:rPr>
          <w:sz w:val="24"/>
        </w:rPr>
        <w:t xml:space="preserve"> regarding the constitutional status of Northern Ireland and the principle of consent.  The commitments set out in this joint report are and must remain fully consistent with these provisions. The United Kingdom continues to respect and support fully Northern Ireland's position as an integral part of the United Kingdom, consistent with the principle of</w:t>
      </w:r>
      <w:r w:rsidRPr="00B0304D">
        <w:rPr>
          <w:spacing w:val="-5"/>
          <w:sz w:val="24"/>
        </w:rPr>
        <w:t xml:space="preserve"> </w:t>
      </w:r>
      <w:r w:rsidRPr="00B0304D">
        <w:rPr>
          <w:sz w:val="24"/>
        </w:rPr>
        <w:t>consent.</w:t>
      </w:r>
    </w:p>
    <w:p w:rsidR="00AE6D8C" w:rsidRPr="00B0304D" w:rsidRDefault="00AE6D8C">
      <w:pPr>
        <w:pStyle w:val="BodyText"/>
      </w:pPr>
    </w:p>
    <w:p w:rsidR="00AE6D8C" w:rsidRPr="00B0304D" w:rsidRDefault="002E60BA">
      <w:pPr>
        <w:pStyle w:val="ListParagraph"/>
        <w:numPr>
          <w:ilvl w:val="0"/>
          <w:numId w:val="1"/>
        </w:numPr>
        <w:tabs>
          <w:tab w:val="left" w:pos="837"/>
        </w:tabs>
        <w:ind w:right="116"/>
        <w:jc w:val="both"/>
        <w:rPr>
          <w:sz w:val="24"/>
        </w:rPr>
      </w:pPr>
      <w:r w:rsidRPr="00B0304D">
        <w:rPr>
          <w:sz w:val="24"/>
        </w:rPr>
        <w:t>The United Kingdom respects Ireland's ongoing membership of the European Union and all of the corresponding rights and obligations that entails, in particular Ireland's place in the Internal Market and the Customs Union. The United Kingdom also recalls its commitment to preserving the integrity of its internal market and Northern Ireland's place within it, as the United Kingdom leaves the European Union's Internal Market and Customs</w:t>
      </w:r>
      <w:r w:rsidRPr="00B0304D">
        <w:rPr>
          <w:spacing w:val="-2"/>
          <w:sz w:val="24"/>
        </w:rPr>
        <w:t xml:space="preserve"> </w:t>
      </w:r>
      <w:r w:rsidRPr="00B0304D">
        <w:rPr>
          <w:sz w:val="24"/>
        </w:rPr>
        <w:t>Union.</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6"/>
        <w:jc w:val="both"/>
        <w:rPr>
          <w:sz w:val="24"/>
        </w:rPr>
      </w:pPr>
      <w:r w:rsidRPr="00B0304D">
        <w:rPr>
          <w:sz w:val="24"/>
        </w:rPr>
        <w:t>The commitments and principles outlined in this joint report will not pre-determine the outcome of wider discussions on the future relationship between the European Union and the United Kingdom and are, as necessary, specific to the unique circumstances on the island of Ireland. They are made and must be upheld in all circumstances, irrespective of the nature of any future agreement between the European Union and United</w:t>
      </w:r>
      <w:r w:rsidRPr="00B0304D">
        <w:rPr>
          <w:spacing w:val="-4"/>
          <w:sz w:val="24"/>
        </w:rPr>
        <w:t xml:space="preserve"> </w:t>
      </w:r>
      <w:r w:rsidRPr="00B0304D">
        <w:rPr>
          <w:sz w:val="24"/>
        </w:rPr>
        <w:t>Kingdom.</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0"/>
        <w:jc w:val="both"/>
        <w:rPr>
          <w:sz w:val="24"/>
        </w:rPr>
      </w:pPr>
      <w:r w:rsidRPr="00B0304D">
        <w:rPr>
          <w:sz w:val="24"/>
        </w:rPr>
        <w:t>Cooperation between Ireland and Northern Ireland is a central part of the 1998 Agreement</w:t>
      </w:r>
      <w:r w:rsidR="00B8787A" w:rsidRPr="00B0304D">
        <w:rPr>
          <w:sz w:val="24"/>
        </w:rPr>
        <w:fldChar w:fldCharType="begin"/>
      </w:r>
      <w:r w:rsidR="00F018BF" w:rsidRPr="00B0304D">
        <w:instrText xml:space="preserve"> XE "Ireland and Northern Ireland:1998 Agreement" </w:instrText>
      </w:r>
      <w:r w:rsidR="00B8787A" w:rsidRPr="00B0304D">
        <w:rPr>
          <w:sz w:val="24"/>
        </w:rPr>
        <w:fldChar w:fldCharType="end"/>
      </w:r>
      <w:r w:rsidRPr="00B0304D">
        <w:rPr>
          <w:sz w:val="24"/>
        </w:rPr>
        <w:t xml:space="preserve"> and is essential for achieving reconciliation and the normalisation of relationships on the island of Ireland. In this regard, both Parties recall the roles, functions and safeguards of the Northern Ireland Executive</w:t>
      </w:r>
      <w:r w:rsidR="00B8787A" w:rsidRPr="00B0304D">
        <w:rPr>
          <w:sz w:val="24"/>
        </w:rPr>
        <w:fldChar w:fldCharType="begin"/>
      </w:r>
      <w:r w:rsidR="00F018BF" w:rsidRPr="00B0304D">
        <w:instrText xml:space="preserve"> XE "Ireland and Northern Ireland:Northern Ireland Executive" </w:instrText>
      </w:r>
      <w:r w:rsidR="00B8787A" w:rsidRPr="00B0304D">
        <w:rPr>
          <w:sz w:val="24"/>
        </w:rPr>
        <w:fldChar w:fldCharType="end"/>
      </w:r>
      <w:r w:rsidRPr="00B0304D">
        <w:rPr>
          <w:sz w:val="24"/>
        </w:rPr>
        <w:t>, the Northern</w:t>
      </w:r>
      <w:r w:rsidRPr="00B0304D">
        <w:rPr>
          <w:spacing w:val="32"/>
          <w:sz w:val="24"/>
        </w:rPr>
        <w:t xml:space="preserve"> </w:t>
      </w:r>
      <w:r w:rsidRPr="00B0304D">
        <w:rPr>
          <w:sz w:val="24"/>
        </w:rPr>
        <w:t>Ireland Assembly</w:t>
      </w:r>
      <w:r w:rsidR="00B8787A" w:rsidRPr="00B0304D">
        <w:rPr>
          <w:sz w:val="24"/>
        </w:rPr>
        <w:fldChar w:fldCharType="begin"/>
      </w:r>
      <w:r w:rsidR="00F018BF" w:rsidRPr="00B0304D">
        <w:instrText xml:space="preserve"> XE "Ireland and Northern Ireland:Northern Ireland Assembly" </w:instrText>
      </w:r>
      <w:r w:rsidR="00B8787A" w:rsidRPr="00B0304D">
        <w:rPr>
          <w:sz w:val="24"/>
        </w:rPr>
        <w:fldChar w:fldCharType="end"/>
      </w:r>
      <w:r w:rsidRPr="00B0304D">
        <w:rPr>
          <w:sz w:val="24"/>
        </w:rPr>
        <w:t>, and the North-South Ministerial Council</w:t>
      </w:r>
      <w:r w:rsidR="00B8787A" w:rsidRPr="00B0304D">
        <w:rPr>
          <w:sz w:val="24"/>
        </w:rPr>
        <w:fldChar w:fldCharType="begin"/>
      </w:r>
      <w:r w:rsidR="00F018BF" w:rsidRPr="00B0304D">
        <w:instrText xml:space="preserve"> XE "Ireland and Northern Ireland:North-South Ministerial Council" </w:instrText>
      </w:r>
      <w:r w:rsidR="00B8787A" w:rsidRPr="00B0304D">
        <w:rPr>
          <w:sz w:val="24"/>
        </w:rPr>
        <w:fldChar w:fldCharType="end"/>
      </w:r>
      <w:r w:rsidRPr="00B0304D">
        <w:rPr>
          <w:sz w:val="24"/>
        </w:rPr>
        <w:t xml:space="preserve"> (including its cross-community provisions)</w:t>
      </w:r>
      <w:r w:rsidRPr="00B0304D">
        <w:rPr>
          <w:spacing w:val="43"/>
          <w:sz w:val="24"/>
        </w:rPr>
        <w:t xml:space="preserve"> </w:t>
      </w:r>
      <w:r w:rsidRPr="00B0304D">
        <w:rPr>
          <w:sz w:val="24"/>
        </w:rPr>
        <w:t>as</w:t>
      </w:r>
      <w:r w:rsidRPr="00B0304D">
        <w:rPr>
          <w:spacing w:val="43"/>
          <w:sz w:val="24"/>
        </w:rPr>
        <w:t xml:space="preserve"> </w:t>
      </w:r>
      <w:r w:rsidRPr="00B0304D">
        <w:rPr>
          <w:sz w:val="24"/>
        </w:rPr>
        <w:t>set</w:t>
      </w:r>
      <w:r w:rsidRPr="00B0304D">
        <w:rPr>
          <w:spacing w:val="43"/>
          <w:sz w:val="24"/>
        </w:rPr>
        <w:t xml:space="preserve"> </w:t>
      </w:r>
      <w:r w:rsidRPr="00B0304D">
        <w:rPr>
          <w:sz w:val="24"/>
        </w:rPr>
        <w:t>out</w:t>
      </w:r>
      <w:r w:rsidRPr="00B0304D">
        <w:rPr>
          <w:spacing w:val="43"/>
          <w:sz w:val="24"/>
        </w:rPr>
        <w:t xml:space="preserve"> </w:t>
      </w:r>
      <w:r w:rsidRPr="00B0304D">
        <w:rPr>
          <w:sz w:val="24"/>
        </w:rPr>
        <w:t>in</w:t>
      </w:r>
      <w:r w:rsidRPr="00B0304D">
        <w:rPr>
          <w:spacing w:val="43"/>
          <w:sz w:val="24"/>
        </w:rPr>
        <w:t xml:space="preserve"> </w:t>
      </w:r>
      <w:r w:rsidRPr="00B0304D">
        <w:rPr>
          <w:sz w:val="24"/>
        </w:rPr>
        <w:t>the</w:t>
      </w:r>
      <w:r w:rsidRPr="00B0304D">
        <w:rPr>
          <w:spacing w:val="45"/>
          <w:sz w:val="24"/>
        </w:rPr>
        <w:t xml:space="preserve"> </w:t>
      </w:r>
      <w:r w:rsidRPr="00B0304D">
        <w:rPr>
          <w:sz w:val="24"/>
        </w:rPr>
        <w:t>1998</w:t>
      </w:r>
      <w:r w:rsidRPr="00B0304D">
        <w:rPr>
          <w:spacing w:val="46"/>
          <w:sz w:val="24"/>
        </w:rPr>
        <w:t xml:space="preserve"> </w:t>
      </w:r>
      <w:r w:rsidRPr="00B0304D">
        <w:rPr>
          <w:sz w:val="24"/>
        </w:rPr>
        <w:t>Agreement.</w:t>
      </w:r>
      <w:r w:rsidRPr="00B0304D">
        <w:rPr>
          <w:spacing w:val="46"/>
          <w:sz w:val="24"/>
        </w:rPr>
        <w:t xml:space="preserve"> </w:t>
      </w:r>
      <w:r w:rsidRPr="00B0304D">
        <w:rPr>
          <w:sz w:val="24"/>
        </w:rPr>
        <w:t>The</w:t>
      </w:r>
      <w:r w:rsidRPr="00B0304D">
        <w:rPr>
          <w:spacing w:val="42"/>
          <w:sz w:val="24"/>
        </w:rPr>
        <w:t xml:space="preserve"> </w:t>
      </w:r>
      <w:r w:rsidRPr="00B0304D">
        <w:rPr>
          <w:sz w:val="24"/>
        </w:rPr>
        <w:t>two</w:t>
      </w:r>
      <w:r w:rsidRPr="00B0304D">
        <w:rPr>
          <w:spacing w:val="43"/>
          <w:sz w:val="24"/>
        </w:rPr>
        <w:t xml:space="preserve"> </w:t>
      </w:r>
      <w:r w:rsidRPr="00B0304D">
        <w:rPr>
          <w:sz w:val="24"/>
        </w:rPr>
        <w:t>Parties</w:t>
      </w:r>
      <w:r w:rsidRPr="00B0304D">
        <w:rPr>
          <w:spacing w:val="42"/>
          <w:sz w:val="24"/>
        </w:rPr>
        <w:t xml:space="preserve"> </w:t>
      </w:r>
      <w:r w:rsidRPr="00B0304D">
        <w:rPr>
          <w:sz w:val="24"/>
        </w:rPr>
        <w:t>have</w:t>
      </w:r>
      <w:r w:rsidRPr="00B0304D">
        <w:rPr>
          <w:spacing w:val="45"/>
          <w:sz w:val="24"/>
        </w:rPr>
        <w:t xml:space="preserve"> </w:t>
      </w:r>
      <w:r w:rsidRPr="00B0304D">
        <w:rPr>
          <w:sz w:val="24"/>
        </w:rPr>
        <w:t>carried</w:t>
      </w:r>
      <w:r w:rsidRPr="00B0304D">
        <w:rPr>
          <w:spacing w:val="45"/>
          <w:sz w:val="24"/>
        </w:rPr>
        <w:t xml:space="preserve"> </w:t>
      </w:r>
      <w:r w:rsidRPr="00B0304D">
        <w:rPr>
          <w:sz w:val="24"/>
        </w:rPr>
        <w:t>out</w:t>
      </w:r>
      <w:r w:rsidRPr="00B0304D">
        <w:rPr>
          <w:spacing w:val="43"/>
          <w:sz w:val="24"/>
        </w:rPr>
        <w:t xml:space="preserve"> </w:t>
      </w:r>
      <w:r w:rsidRPr="00B0304D">
        <w:rPr>
          <w:sz w:val="24"/>
        </w:rPr>
        <w:t>a</w:t>
      </w:r>
    </w:p>
    <w:p w:rsidR="00AE6D8C" w:rsidRPr="00B0304D" w:rsidRDefault="00AE6D8C">
      <w:pPr>
        <w:jc w:val="both"/>
        <w:rPr>
          <w:sz w:val="24"/>
        </w:rPr>
        <w:sectPr w:rsidR="00AE6D8C" w:rsidRPr="00B0304D">
          <w:pgSz w:w="11910" w:h="16840"/>
          <w:pgMar w:top="1320" w:right="1300" w:bottom="1240" w:left="1300" w:header="0" w:footer="1044" w:gutter="0"/>
          <w:cols w:space="720"/>
        </w:sectPr>
      </w:pPr>
    </w:p>
    <w:p w:rsidR="00AE6D8C" w:rsidRPr="00B0304D" w:rsidRDefault="002E60BA">
      <w:pPr>
        <w:pStyle w:val="BodyText"/>
        <w:spacing w:before="69"/>
        <w:ind w:left="476" w:right="118"/>
        <w:jc w:val="both"/>
      </w:pPr>
      <w:r w:rsidRPr="00B0304D">
        <w:lastRenderedPageBreak/>
        <w:t>mapping exercise, which shows that North-South cooperation relies to a significant extent on a common European Union legal and policy framework. Therefore, the United Kingdom’s departure from the European Union gives rise to substantial challenges to the maintenance and development of North-South cooperation</w:t>
      </w:r>
      <w:r w:rsidR="00B8787A" w:rsidRPr="00B0304D">
        <w:fldChar w:fldCharType="begin"/>
      </w:r>
      <w:r w:rsidR="00F018BF" w:rsidRPr="00B0304D">
        <w:instrText xml:space="preserve"> XE "Ireland and Northern Ireland:North-South cooperation" </w:instrText>
      </w:r>
      <w:r w:rsidR="00B8787A" w:rsidRPr="00B0304D">
        <w:fldChar w:fldCharType="end"/>
      </w:r>
      <w:r w:rsidRPr="00B0304D">
        <w:t>.</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18"/>
        <w:jc w:val="both"/>
        <w:rPr>
          <w:sz w:val="24"/>
        </w:rPr>
      </w:pPr>
      <w:r w:rsidRPr="00B0304D">
        <w:rPr>
          <w:sz w:val="24"/>
        </w:rPr>
        <w:t>The United Kingdom remains committed to protecting and supporting continued North-Sou</w:t>
      </w:r>
      <w:r w:rsidR="00B8787A" w:rsidRPr="00B0304D">
        <w:rPr>
          <w:sz w:val="24"/>
        </w:rPr>
        <w:fldChar w:fldCharType="begin"/>
      </w:r>
      <w:r w:rsidR="00F018BF" w:rsidRPr="00B0304D">
        <w:instrText xml:space="preserve"> XE "Ireland and Northern Ireland:North-South cooperation" </w:instrText>
      </w:r>
      <w:r w:rsidR="00B8787A" w:rsidRPr="00B0304D">
        <w:rPr>
          <w:sz w:val="24"/>
        </w:rPr>
        <w:fldChar w:fldCharType="end"/>
      </w:r>
      <w:r w:rsidRPr="00B0304D">
        <w:rPr>
          <w:sz w:val="24"/>
        </w:rPr>
        <w:t>th and Ea</w:t>
      </w:r>
      <w:r w:rsidR="00B8787A" w:rsidRPr="00B0304D">
        <w:rPr>
          <w:sz w:val="24"/>
        </w:rPr>
        <w:fldChar w:fldCharType="begin"/>
      </w:r>
      <w:r w:rsidR="00F018BF" w:rsidRPr="00B0304D">
        <w:instrText xml:space="preserve"> XE "Ireland and Northern Ireland:East-West cooperation" </w:instrText>
      </w:r>
      <w:r w:rsidR="00B8787A" w:rsidRPr="00B0304D">
        <w:rPr>
          <w:sz w:val="24"/>
        </w:rPr>
        <w:fldChar w:fldCharType="end"/>
      </w:r>
      <w:r w:rsidRPr="00B0304D">
        <w:rPr>
          <w:sz w:val="24"/>
        </w:rPr>
        <w:t>st-West cooperation across the full range of political, economic, security, societal and agricultural contexts and frameworks of cooperation, including the continued operation of the North-South implementation</w:t>
      </w:r>
      <w:r w:rsidRPr="00B0304D">
        <w:rPr>
          <w:spacing w:val="-11"/>
          <w:sz w:val="24"/>
        </w:rPr>
        <w:t xml:space="preserve"> </w:t>
      </w:r>
      <w:r w:rsidRPr="00B0304D">
        <w:rPr>
          <w:sz w:val="24"/>
        </w:rPr>
        <w:t>bodies.</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12"/>
        <w:jc w:val="both"/>
        <w:rPr>
          <w:sz w:val="24"/>
        </w:rPr>
      </w:pPr>
      <w:r w:rsidRPr="00B0304D">
        <w:rPr>
          <w:sz w:val="24"/>
        </w:rPr>
        <w:t>The United Kingdom remains committed to protecting North-South cooperation and to its guarantee of avoiding a hard border. Any future arrangements must be compatible with these overarching requirements. The United Kingdom's intention is to achieve these objectives through the overall EU-UK relationship. Should this not be possible, the United Kingdom will propose specific solutions to address the unique circumstances of the island of Ireland. In the absence of agreed solutions</w:t>
      </w:r>
      <w:r w:rsidR="00B8787A" w:rsidRPr="00B0304D">
        <w:rPr>
          <w:sz w:val="24"/>
        </w:rPr>
        <w:fldChar w:fldCharType="begin"/>
      </w:r>
      <w:r w:rsidR="00926A26" w:rsidRPr="00B0304D">
        <w:instrText xml:space="preserve"> XE "Ireland and Northern Ireland:absence of agreed solutions" </w:instrText>
      </w:r>
      <w:r w:rsidR="00B8787A" w:rsidRPr="00B0304D">
        <w:rPr>
          <w:sz w:val="24"/>
        </w:rPr>
        <w:fldChar w:fldCharType="end"/>
      </w:r>
      <w:r w:rsidRPr="00B0304D">
        <w:rPr>
          <w:sz w:val="24"/>
        </w:rPr>
        <w:t>, the United Kingdom will maintain full alignment with those rules of the Internal Market and the Customs Union which, now or in the future, support North-South cooperation, the all- island economy and the protection of the 1998</w:t>
      </w:r>
      <w:r w:rsidRPr="00B0304D">
        <w:rPr>
          <w:spacing w:val="-11"/>
          <w:sz w:val="24"/>
        </w:rPr>
        <w:t xml:space="preserve"> </w:t>
      </w:r>
      <w:r w:rsidRPr="00B0304D">
        <w:rPr>
          <w:sz w:val="24"/>
        </w:rPr>
        <w:t>Agreement</w:t>
      </w:r>
      <w:r w:rsidR="00B8787A" w:rsidRPr="00B0304D">
        <w:rPr>
          <w:sz w:val="24"/>
        </w:rPr>
        <w:fldChar w:fldCharType="begin"/>
      </w:r>
      <w:r w:rsidR="00926A26" w:rsidRPr="00B0304D">
        <w:instrText xml:space="preserve"> XE "Ireland and Northern Ireland:1998 Agreement" </w:instrText>
      </w:r>
      <w:r w:rsidR="00B8787A" w:rsidRPr="00B0304D">
        <w:rPr>
          <w:sz w:val="24"/>
        </w:rPr>
        <w:fldChar w:fldCharType="end"/>
      </w:r>
      <w:r w:rsidRPr="00B0304D">
        <w:rPr>
          <w:sz w:val="24"/>
        </w:rPr>
        <w:t>.</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16"/>
        <w:jc w:val="both"/>
        <w:rPr>
          <w:sz w:val="24"/>
        </w:rPr>
      </w:pPr>
      <w:r w:rsidRPr="00B0304D">
        <w:rPr>
          <w:sz w:val="24"/>
        </w:rPr>
        <w:t>In the absence of agreed solutions</w:t>
      </w:r>
      <w:r w:rsidR="00B8787A" w:rsidRPr="00B0304D">
        <w:rPr>
          <w:sz w:val="24"/>
        </w:rPr>
        <w:fldChar w:fldCharType="begin"/>
      </w:r>
      <w:r w:rsidR="00926A26" w:rsidRPr="00B0304D">
        <w:instrText xml:space="preserve"> XE "Ireland and Northern Ireland:absence of agreed solutions" </w:instrText>
      </w:r>
      <w:r w:rsidR="00B8787A" w:rsidRPr="00B0304D">
        <w:rPr>
          <w:sz w:val="24"/>
        </w:rPr>
        <w:fldChar w:fldCharType="end"/>
      </w:r>
      <w:r w:rsidRPr="00B0304D">
        <w:rPr>
          <w:sz w:val="24"/>
        </w:rPr>
        <w:t>, as set out in the previous paragraph, the United Kingdom will ensure that no new regulatory barriers develop between Northern  Ireland and the rest of the United Kingdom, unless, consistent with the 1998 Agreement</w:t>
      </w:r>
      <w:r w:rsidR="00B8787A" w:rsidRPr="00B0304D">
        <w:rPr>
          <w:sz w:val="24"/>
        </w:rPr>
        <w:fldChar w:fldCharType="begin"/>
      </w:r>
      <w:r w:rsidR="00926A26" w:rsidRPr="00B0304D">
        <w:instrText xml:space="preserve"> XE "Ireland and Northern Ireland:1998 Agreement" </w:instrText>
      </w:r>
      <w:r w:rsidR="00B8787A" w:rsidRPr="00B0304D">
        <w:rPr>
          <w:sz w:val="24"/>
        </w:rPr>
        <w:fldChar w:fldCharType="end"/>
      </w:r>
      <w:r w:rsidRPr="00B0304D">
        <w:rPr>
          <w:sz w:val="24"/>
        </w:rPr>
        <w:t xml:space="preserve">, the Northern Ireland Executive and Assembly agree that distinct arrangements are appropriate for Northern Ireland. </w:t>
      </w:r>
      <w:r w:rsidRPr="00B0304D">
        <w:rPr>
          <w:spacing w:val="-3"/>
          <w:sz w:val="24"/>
        </w:rPr>
        <w:t xml:space="preserve">In </w:t>
      </w:r>
      <w:r w:rsidRPr="00B0304D">
        <w:rPr>
          <w:sz w:val="24"/>
        </w:rPr>
        <w:t>all circumstances, the United Kingdom will continue to ensure the same unfettered access for Northern Ireland's businesses to the whole of the United Kingdom internal</w:t>
      </w:r>
      <w:r w:rsidRPr="00B0304D">
        <w:rPr>
          <w:spacing w:val="-10"/>
          <w:sz w:val="24"/>
        </w:rPr>
        <w:t xml:space="preserve"> </w:t>
      </w:r>
      <w:r w:rsidRPr="00B0304D">
        <w:rPr>
          <w:sz w:val="24"/>
        </w:rPr>
        <w:t>market.</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18"/>
        <w:jc w:val="both"/>
        <w:rPr>
          <w:sz w:val="24"/>
        </w:rPr>
      </w:pPr>
      <w:r w:rsidRPr="00B0304D">
        <w:rPr>
          <w:sz w:val="24"/>
        </w:rPr>
        <w:t>Both Parties will establish mechanisms to ensure the implementation and oversight of any specific arrangement to safeguard the integrity of the EU Internal Market</w:t>
      </w:r>
      <w:r w:rsidR="00B8787A" w:rsidRPr="00B0304D">
        <w:rPr>
          <w:sz w:val="24"/>
        </w:rPr>
        <w:fldChar w:fldCharType="begin"/>
      </w:r>
      <w:r w:rsidR="00926A26" w:rsidRPr="00B0304D">
        <w:instrText xml:space="preserve"> XE "Ireland and Northern Ireland:EU Internal Market" </w:instrText>
      </w:r>
      <w:r w:rsidR="00B8787A" w:rsidRPr="00B0304D">
        <w:rPr>
          <w:sz w:val="24"/>
        </w:rPr>
        <w:fldChar w:fldCharType="end"/>
      </w:r>
      <w:r w:rsidRPr="00B0304D">
        <w:rPr>
          <w:sz w:val="24"/>
        </w:rPr>
        <w:t xml:space="preserve"> and the Customs</w:t>
      </w:r>
      <w:r w:rsidRPr="00B0304D">
        <w:rPr>
          <w:spacing w:val="-1"/>
          <w:sz w:val="24"/>
        </w:rPr>
        <w:t xml:space="preserve"> </w:t>
      </w:r>
      <w:r w:rsidRPr="00B0304D">
        <w:rPr>
          <w:sz w:val="24"/>
        </w:rPr>
        <w:t>Union</w:t>
      </w:r>
      <w:r w:rsidR="00B8787A" w:rsidRPr="00B0304D">
        <w:rPr>
          <w:sz w:val="24"/>
        </w:rPr>
        <w:fldChar w:fldCharType="begin"/>
      </w:r>
      <w:r w:rsidR="00926A26" w:rsidRPr="00B0304D">
        <w:instrText xml:space="preserve"> XE "Ireland and Northern Ireland:Customs Union" </w:instrText>
      </w:r>
      <w:r w:rsidR="00B8787A" w:rsidRPr="00B0304D">
        <w:rPr>
          <w:sz w:val="24"/>
        </w:rPr>
        <w:fldChar w:fldCharType="end"/>
      </w:r>
      <w:r w:rsidRPr="00B0304D">
        <w:rPr>
          <w:sz w:val="24"/>
        </w:rPr>
        <w:t>.</w:t>
      </w:r>
    </w:p>
    <w:p w:rsidR="00AE6D8C" w:rsidRPr="00B0304D" w:rsidRDefault="00AE6D8C">
      <w:pPr>
        <w:pStyle w:val="BodyText"/>
      </w:pPr>
    </w:p>
    <w:p w:rsidR="00AE6D8C" w:rsidRPr="00B0304D" w:rsidRDefault="002E60BA">
      <w:pPr>
        <w:pStyle w:val="ListParagraph"/>
        <w:numPr>
          <w:ilvl w:val="0"/>
          <w:numId w:val="1"/>
        </w:numPr>
        <w:tabs>
          <w:tab w:val="left" w:pos="477"/>
        </w:tabs>
        <w:ind w:left="476"/>
        <w:jc w:val="both"/>
        <w:rPr>
          <w:sz w:val="24"/>
        </w:rPr>
      </w:pPr>
      <w:r w:rsidRPr="00B0304D">
        <w:rPr>
          <w:sz w:val="24"/>
        </w:rPr>
        <w:t>Both Parties acknowledge that the 1998 Agreement</w:t>
      </w:r>
      <w:r w:rsidR="00B8787A" w:rsidRPr="00B0304D">
        <w:rPr>
          <w:sz w:val="24"/>
        </w:rPr>
        <w:fldChar w:fldCharType="begin"/>
      </w:r>
      <w:r w:rsidR="00926A26" w:rsidRPr="00B0304D">
        <w:instrText xml:space="preserve"> XE "Ireland and Northern Ireland:1998 Agreement" </w:instrText>
      </w:r>
      <w:r w:rsidR="00B8787A" w:rsidRPr="00B0304D">
        <w:rPr>
          <w:sz w:val="24"/>
        </w:rPr>
        <w:fldChar w:fldCharType="end"/>
      </w:r>
      <w:r w:rsidRPr="00B0304D">
        <w:rPr>
          <w:sz w:val="24"/>
        </w:rPr>
        <w:t xml:space="preserve"> recognises the birth right of all the people of Northern Ireland to choose to be Irish or British or both and be accepted as such. The people of Northern Ireland who are Irish citizens</w:t>
      </w:r>
      <w:r w:rsidR="00B8787A" w:rsidRPr="00B0304D">
        <w:rPr>
          <w:sz w:val="24"/>
        </w:rPr>
        <w:fldChar w:fldCharType="begin"/>
      </w:r>
      <w:r w:rsidR="00926A26" w:rsidRPr="00B0304D">
        <w:instrText xml:space="preserve"> XE "Ireland and Northern Ireland:Irish citizens" </w:instrText>
      </w:r>
      <w:r w:rsidR="00B8787A" w:rsidRPr="00B0304D">
        <w:rPr>
          <w:sz w:val="24"/>
        </w:rPr>
        <w:fldChar w:fldCharType="end"/>
      </w:r>
      <w:r w:rsidRPr="00B0304D">
        <w:rPr>
          <w:sz w:val="24"/>
        </w:rPr>
        <w:t xml:space="preserve"> will continue to enjoy rights as EU citizens, including where they reside in Northern Ireland. Both Parties therefore agree that the Withdrawal Agreement should respect and be without prejudice to the rights, opportunities and identity that come with European Union citizenship for such people and, in the next phase of negotiations, will examine arrangements required to give effect to  the ongoing exercise of, and access to, their  EU rights, opportunities and</w:t>
      </w:r>
      <w:r w:rsidRPr="00B0304D">
        <w:rPr>
          <w:spacing w:val="-7"/>
          <w:sz w:val="24"/>
        </w:rPr>
        <w:t xml:space="preserve"> </w:t>
      </w:r>
      <w:r w:rsidRPr="00B0304D">
        <w:rPr>
          <w:sz w:val="24"/>
        </w:rPr>
        <w:t>benefits.</w:t>
      </w:r>
    </w:p>
    <w:p w:rsidR="00AE6D8C" w:rsidRPr="00B0304D" w:rsidRDefault="00AE6D8C">
      <w:pPr>
        <w:pStyle w:val="BodyText"/>
      </w:pPr>
    </w:p>
    <w:p w:rsidR="00AE6D8C" w:rsidRPr="00B0304D" w:rsidRDefault="002E60BA">
      <w:pPr>
        <w:pStyle w:val="ListParagraph"/>
        <w:numPr>
          <w:ilvl w:val="0"/>
          <w:numId w:val="1"/>
        </w:numPr>
        <w:tabs>
          <w:tab w:val="left" w:pos="477"/>
        </w:tabs>
        <w:ind w:left="476"/>
        <w:jc w:val="both"/>
        <w:rPr>
          <w:sz w:val="24"/>
        </w:rPr>
      </w:pPr>
      <w:r w:rsidRPr="00B0304D">
        <w:rPr>
          <w:sz w:val="24"/>
        </w:rPr>
        <w:t>The 1998 Agreement also includes important provisions on Rights, Safeguards and Equality of Opportunity</w:t>
      </w:r>
      <w:r w:rsidR="00B8787A" w:rsidRPr="00B0304D">
        <w:rPr>
          <w:sz w:val="24"/>
        </w:rPr>
        <w:fldChar w:fldCharType="begin"/>
      </w:r>
      <w:r w:rsidR="00926A26" w:rsidRPr="00B0304D">
        <w:instrText xml:space="preserve"> XE "Ireland and Northern Ireland:Rights, Safeguards and Equality of Opportunity" </w:instrText>
      </w:r>
      <w:r w:rsidR="00B8787A" w:rsidRPr="00B0304D">
        <w:rPr>
          <w:sz w:val="24"/>
        </w:rPr>
        <w:fldChar w:fldCharType="end"/>
      </w:r>
      <w:r w:rsidRPr="00B0304D">
        <w:rPr>
          <w:sz w:val="24"/>
        </w:rPr>
        <w:t xml:space="preserve"> for which EU law and practice has provided a supporting framework in Northern Ireland and across the island of Ireland. The United Kingdom commits to ensuring that no diminution of rights is caused by its departure from the European Union, including in the area of protection against forms of discrimination enshrined in EU law. The United Kingdom commits to facilitating the related work of the institutions and bodies, established by the 1998 Agreement</w:t>
      </w:r>
      <w:r w:rsidR="00B8787A" w:rsidRPr="00B0304D">
        <w:rPr>
          <w:sz w:val="24"/>
        </w:rPr>
        <w:fldChar w:fldCharType="begin"/>
      </w:r>
      <w:r w:rsidR="00926A26" w:rsidRPr="00B0304D">
        <w:instrText xml:space="preserve"> XE "Ireland and Northern Ireland:1998 Agreement" </w:instrText>
      </w:r>
      <w:r w:rsidR="00B8787A" w:rsidRPr="00B0304D">
        <w:rPr>
          <w:sz w:val="24"/>
        </w:rPr>
        <w:fldChar w:fldCharType="end"/>
      </w:r>
      <w:r w:rsidRPr="00B0304D">
        <w:rPr>
          <w:sz w:val="24"/>
        </w:rPr>
        <w:t>, in upholding human rights and equality</w:t>
      </w:r>
      <w:r w:rsidRPr="00B0304D">
        <w:rPr>
          <w:spacing w:val="-8"/>
          <w:sz w:val="24"/>
        </w:rPr>
        <w:t xml:space="preserve"> </w:t>
      </w:r>
      <w:r w:rsidRPr="00B0304D">
        <w:rPr>
          <w:sz w:val="24"/>
        </w:rPr>
        <w:t>standards.</w:t>
      </w:r>
    </w:p>
    <w:p w:rsidR="00AE6D8C" w:rsidRPr="00B0304D" w:rsidRDefault="00AE6D8C">
      <w:pPr>
        <w:jc w:val="both"/>
        <w:rPr>
          <w:sz w:val="24"/>
        </w:rPr>
        <w:sectPr w:rsidR="00AE6D8C" w:rsidRPr="00B0304D">
          <w:pgSz w:w="11910" w:h="16840"/>
          <w:pgMar w:top="1320" w:right="1300" w:bottom="1240" w:left="1660" w:header="0" w:footer="1044" w:gutter="0"/>
          <w:cols w:space="720"/>
        </w:sectPr>
      </w:pPr>
    </w:p>
    <w:p w:rsidR="00AE6D8C" w:rsidRPr="00B0304D" w:rsidRDefault="002E60BA">
      <w:pPr>
        <w:pStyle w:val="ListParagraph"/>
        <w:numPr>
          <w:ilvl w:val="0"/>
          <w:numId w:val="1"/>
        </w:numPr>
        <w:tabs>
          <w:tab w:val="left" w:pos="837"/>
        </w:tabs>
        <w:spacing w:before="86"/>
        <w:ind w:right="112"/>
        <w:jc w:val="both"/>
        <w:rPr>
          <w:sz w:val="24"/>
        </w:rPr>
      </w:pPr>
      <w:r w:rsidRPr="00B0304D">
        <w:rPr>
          <w:sz w:val="24"/>
        </w:rPr>
        <w:lastRenderedPageBreak/>
        <w:t>Both Parties recognise that the United Kingdom and Ireland may continue to make arrangements between themselves relating to the movement of persons between their territories (Common Travel Area</w:t>
      </w:r>
      <w:r w:rsidR="00B8787A" w:rsidRPr="00B0304D">
        <w:rPr>
          <w:sz w:val="24"/>
        </w:rPr>
        <w:fldChar w:fldCharType="begin"/>
      </w:r>
      <w:r w:rsidR="00926A26" w:rsidRPr="00B0304D">
        <w:instrText xml:space="preserve"> XE "Ireland and Northern Ireland:Common Travel Area" </w:instrText>
      </w:r>
      <w:r w:rsidR="00B8787A" w:rsidRPr="00B0304D">
        <w:rPr>
          <w:sz w:val="24"/>
        </w:rPr>
        <w:fldChar w:fldCharType="end"/>
      </w:r>
      <w:r w:rsidRPr="00B0304D">
        <w:rPr>
          <w:sz w:val="24"/>
        </w:rPr>
        <w:t>), while fully respecting the rights of natural persons conferred by Union law. The United Kingdom confirms and accepts that the Common Travel Area and associated rights and privileges can continue to operate without affecting Ireland’s obligations under Union law, in particular with respect to free movement for EU</w:t>
      </w:r>
      <w:r w:rsidRPr="00B0304D">
        <w:rPr>
          <w:spacing w:val="-3"/>
          <w:sz w:val="24"/>
        </w:rPr>
        <w:t xml:space="preserve"> </w:t>
      </w:r>
      <w:r w:rsidRPr="00B0304D">
        <w:rPr>
          <w:sz w:val="24"/>
        </w:rPr>
        <w:t>citizens.</w:t>
      </w:r>
    </w:p>
    <w:p w:rsidR="00AE6D8C" w:rsidRPr="00B0304D" w:rsidRDefault="00AE6D8C">
      <w:pPr>
        <w:pStyle w:val="BodyText"/>
      </w:pPr>
    </w:p>
    <w:p w:rsidR="00AE6D8C" w:rsidRPr="00B0304D" w:rsidRDefault="002E60BA">
      <w:pPr>
        <w:pStyle w:val="ListParagraph"/>
        <w:numPr>
          <w:ilvl w:val="0"/>
          <w:numId w:val="1"/>
        </w:numPr>
        <w:tabs>
          <w:tab w:val="left" w:pos="837"/>
        </w:tabs>
        <w:ind w:right="116"/>
        <w:jc w:val="both"/>
        <w:rPr>
          <w:sz w:val="24"/>
        </w:rPr>
      </w:pPr>
      <w:r w:rsidRPr="00B0304D">
        <w:rPr>
          <w:sz w:val="24"/>
        </w:rPr>
        <w:t>Both Parties will honour their commitments to the PEACE</w:t>
      </w:r>
      <w:r w:rsidR="00B8787A" w:rsidRPr="00B0304D">
        <w:rPr>
          <w:sz w:val="24"/>
        </w:rPr>
        <w:fldChar w:fldCharType="begin"/>
      </w:r>
      <w:r w:rsidR="00926A26" w:rsidRPr="00B0304D">
        <w:instrText xml:space="preserve"> XE "Ireland and Northern Ireland:PEACE funding programme" </w:instrText>
      </w:r>
      <w:r w:rsidR="00B8787A" w:rsidRPr="00B0304D">
        <w:rPr>
          <w:sz w:val="24"/>
        </w:rPr>
        <w:fldChar w:fldCharType="end"/>
      </w:r>
      <w:r w:rsidRPr="00B0304D">
        <w:rPr>
          <w:sz w:val="24"/>
        </w:rPr>
        <w:t xml:space="preserve"> and INTERREG</w:t>
      </w:r>
      <w:r w:rsidR="00B8787A" w:rsidRPr="00B0304D">
        <w:rPr>
          <w:sz w:val="24"/>
        </w:rPr>
        <w:fldChar w:fldCharType="begin"/>
      </w:r>
      <w:r w:rsidR="00926A26" w:rsidRPr="00B0304D">
        <w:instrText xml:space="preserve"> XE "Ireland and Northern Ireland:INTERREG funding programme" </w:instrText>
      </w:r>
      <w:r w:rsidR="00B8787A" w:rsidRPr="00B0304D">
        <w:rPr>
          <w:sz w:val="24"/>
        </w:rPr>
        <w:fldChar w:fldCharType="end"/>
      </w:r>
      <w:r w:rsidRPr="00B0304D">
        <w:rPr>
          <w:sz w:val="24"/>
        </w:rPr>
        <w:t xml:space="preserve"> funding programmes under the current multi-annual financial framework. Possibilities for future support will be examined</w:t>
      </w:r>
      <w:r w:rsidRPr="00B0304D">
        <w:rPr>
          <w:spacing w:val="-7"/>
          <w:sz w:val="24"/>
        </w:rPr>
        <w:t xml:space="preserve"> </w:t>
      </w:r>
      <w:r w:rsidRPr="00B0304D">
        <w:rPr>
          <w:sz w:val="24"/>
        </w:rPr>
        <w:t>favourably.</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jc w:val="both"/>
        <w:rPr>
          <w:sz w:val="24"/>
        </w:rPr>
      </w:pPr>
      <w:r w:rsidRPr="00B0304D">
        <w:rPr>
          <w:sz w:val="24"/>
        </w:rPr>
        <w:t>Given the specific nature of issues related to Ireland and Northern Ireland, and on the basis of the principles and commitments set out above, both Parties agree that in the next phase work will continue in a distinct strand of the negotiations on the detailed arrangements required to give them effect. Such work will also address issues arising from Ireland’s unique geographic situation, including the transit of goods (to and from Ireland via the United Kingdom), in line with the approach established by the  European Council Guidelines of 29 April</w:t>
      </w:r>
      <w:r w:rsidRPr="00B0304D">
        <w:rPr>
          <w:spacing w:val="-7"/>
          <w:sz w:val="24"/>
        </w:rPr>
        <w:t xml:space="preserve"> </w:t>
      </w:r>
      <w:r w:rsidRPr="00B0304D">
        <w:rPr>
          <w:sz w:val="24"/>
        </w:rPr>
        <w:t>2017.</w:t>
      </w:r>
    </w:p>
    <w:bookmarkEnd w:id="9"/>
    <w:p w:rsidR="00AE6D8C" w:rsidRPr="00B0304D" w:rsidRDefault="00AE6D8C">
      <w:pPr>
        <w:pStyle w:val="BodyText"/>
        <w:rPr>
          <w:sz w:val="26"/>
        </w:rPr>
      </w:pPr>
    </w:p>
    <w:p w:rsidR="00AE6D8C" w:rsidRPr="00B0304D" w:rsidRDefault="00AE6D8C">
      <w:pPr>
        <w:pStyle w:val="BodyText"/>
        <w:spacing w:before="7"/>
        <w:rPr>
          <w:sz w:val="26"/>
        </w:rPr>
      </w:pPr>
    </w:p>
    <w:p w:rsidR="00AE6D8C" w:rsidRPr="00B0304D" w:rsidRDefault="002E60BA">
      <w:pPr>
        <w:pStyle w:val="Heading1"/>
      </w:pPr>
      <w:bookmarkStart w:id="10" w:name="idxFinancials"/>
      <w:r w:rsidRPr="00B0304D">
        <w:t>Financial settlement</w:t>
      </w:r>
    </w:p>
    <w:p w:rsidR="00AE6D8C" w:rsidRPr="00B0304D" w:rsidRDefault="00B8787A">
      <w:pPr>
        <w:pStyle w:val="ListParagraph"/>
        <w:numPr>
          <w:ilvl w:val="0"/>
          <w:numId w:val="1"/>
        </w:numPr>
        <w:tabs>
          <w:tab w:val="left" w:pos="837"/>
        </w:tabs>
        <w:spacing w:before="192"/>
        <w:ind w:right="0"/>
        <w:jc w:val="left"/>
        <w:rPr>
          <w:sz w:val="24"/>
        </w:rPr>
      </w:pPr>
      <w:r w:rsidRPr="00B0304D">
        <w:rPr>
          <w:sz w:val="24"/>
        </w:rPr>
        <w:fldChar w:fldCharType="begin"/>
      </w:r>
      <w:r w:rsidR="005554A1" w:rsidRPr="00B0304D">
        <w:instrText xml:space="preserve"> XE "financial settlement" \r "idxFinancials" </w:instrText>
      </w:r>
      <w:r w:rsidRPr="00B0304D">
        <w:rPr>
          <w:sz w:val="24"/>
        </w:rPr>
        <w:fldChar w:fldCharType="end"/>
      </w:r>
      <w:r w:rsidRPr="00B0304D">
        <w:fldChar w:fldCharType="begin"/>
      </w:r>
      <w:r w:rsidR="00502BDD" w:rsidRPr="00B0304D">
        <w:instrText xml:space="preserve"> XE "financial settlement:methodology" </w:instrText>
      </w:r>
      <w:r w:rsidRPr="00B0304D">
        <w:fldChar w:fldCharType="end"/>
      </w:r>
      <w:r w:rsidR="002E60BA" w:rsidRPr="00B0304D">
        <w:rPr>
          <w:sz w:val="24"/>
        </w:rPr>
        <w:t>Both Parties have agreed a methodology for the financial</w:t>
      </w:r>
      <w:r w:rsidR="002E60BA" w:rsidRPr="00B0304D">
        <w:rPr>
          <w:spacing w:val="-13"/>
          <w:sz w:val="24"/>
        </w:rPr>
        <w:t xml:space="preserve"> </w:t>
      </w:r>
      <w:r w:rsidR="002E60BA" w:rsidRPr="00B0304D">
        <w:rPr>
          <w:sz w:val="24"/>
        </w:rPr>
        <w:t>settlement.</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0"/>
        <w:jc w:val="left"/>
        <w:rPr>
          <w:sz w:val="24"/>
        </w:rPr>
      </w:pPr>
      <w:r w:rsidRPr="00B0304D">
        <w:rPr>
          <w:sz w:val="24"/>
        </w:rPr>
        <w:t>This methodology consists</w:t>
      </w:r>
      <w:r w:rsidRPr="00B0304D">
        <w:rPr>
          <w:spacing w:val="-4"/>
          <w:sz w:val="24"/>
        </w:rPr>
        <w:t xml:space="preserve"> </w:t>
      </w:r>
      <w:r w:rsidRPr="00B0304D">
        <w:rPr>
          <w:sz w:val="24"/>
        </w:rPr>
        <w:t>of:</w:t>
      </w:r>
    </w:p>
    <w:p w:rsidR="00AE6D8C" w:rsidRPr="00B0304D" w:rsidRDefault="002E60BA">
      <w:pPr>
        <w:pStyle w:val="ListParagraph"/>
        <w:numPr>
          <w:ilvl w:val="1"/>
          <w:numId w:val="1"/>
        </w:numPr>
        <w:tabs>
          <w:tab w:val="left" w:pos="1557"/>
        </w:tabs>
        <w:ind w:right="0"/>
        <w:rPr>
          <w:sz w:val="24"/>
        </w:rPr>
      </w:pPr>
      <w:r w:rsidRPr="00B0304D">
        <w:rPr>
          <w:sz w:val="24"/>
        </w:rPr>
        <w:t>a list of</w:t>
      </w:r>
      <w:r w:rsidRPr="00B0304D">
        <w:rPr>
          <w:spacing w:val="-3"/>
          <w:sz w:val="24"/>
        </w:rPr>
        <w:t xml:space="preserve"> </w:t>
      </w:r>
      <w:r w:rsidRPr="00B0304D">
        <w:rPr>
          <w:sz w:val="24"/>
        </w:rPr>
        <w:t>components;</w:t>
      </w:r>
    </w:p>
    <w:p w:rsidR="00AE6D8C" w:rsidRPr="00B0304D" w:rsidRDefault="002E60BA">
      <w:pPr>
        <w:pStyle w:val="ListParagraph"/>
        <w:numPr>
          <w:ilvl w:val="1"/>
          <w:numId w:val="1"/>
        </w:numPr>
        <w:tabs>
          <w:tab w:val="left" w:pos="1557"/>
        </w:tabs>
        <w:ind w:right="121"/>
        <w:jc w:val="both"/>
        <w:rPr>
          <w:sz w:val="24"/>
        </w:rPr>
      </w:pPr>
      <w:r w:rsidRPr="00B0304D">
        <w:rPr>
          <w:sz w:val="24"/>
        </w:rPr>
        <w:t>a set of principles for calculating the value of the financial settlement and payment</w:t>
      </w:r>
      <w:r w:rsidRPr="00B0304D">
        <w:rPr>
          <w:spacing w:val="-6"/>
          <w:sz w:val="24"/>
        </w:rPr>
        <w:t xml:space="preserve"> </w:t>
      </w:r>
      <w:r w:rsidRPr="00B0304D">
        <w:rPr>
          <w:sz w:val="24"/>
        </w:rPr>
        <w:t>modalities;</w:t>
      </w:r>
    </w:p>
    <w:p w:rsidR="00AE6D8C" w:rsidRPr="00B0304D" w:rsidRDefault="002E60BA">
      <w:pPr>
        <w:pStyle w:val="ListParagraph"/>
        <w:numPr>
          <w:ilvl w:val="1"/>
          <w:numId w:val="1"/>
        </w:numPr>
        <w:tabs>
          <w:tab w:val="left" w:pos="1557"/>
        </w:tabs>
        <w:ind w:right="115"/>
        <w:jc w:val="both"/>
        <w:rPr>
          <w:sz w:val="24"/>
        </w:rPr>
      </w:pPr>
      <w:r w:rsidRPr="00B0304D">
        <w:rPr>
          <w:sz w:val="24"/>
        </w:rPr>
        <w:t>arrangements for continued participation of the UK in the programmes of the current Multiannual Financial Framework (MFF)</w:t>
      </w:r>
      <w:r w:rsidR="00B8787A" w:rsidRPr="00B0304D">
        <w:rPr>
          <w:sz w:val="24"/>
        </w:rPr>
        <w:fldChar w:fldCharType="begin"/>
      </w:r>
      <w:r w:rsidR="00B0351B" w:rsidRPr="00B0304D">
        <w:instrText xml:space="preserve"> XE "Multiannual Financial Framework (MFF)" </w:instrText>
      </w:r>
      <w:r w:rsidR="00B8787A" w:rsidRPr="00B0304D">
        <w:rPr>
          <w:sz w:val="24"/>
        </w:rPr>
        <w:fldChar w:fldCharType="end"/>
      </w:r>
      <w:r w:rsidRPr="00B0304D">
        <w:rPr>
          <w:sz w:val="24"/>
        </w:rPr>
        <w:t xml:space="preserve"> until their closure;</w:t>
      </w:r>
      <w:r w:rsidRPr="00B0304D">
        <w:rPr>
          <w:spacing w:val="-13"/>
          <w:sz w:val="24"/>
        </w:rPr>
        <w:t xml:space="preserve"> </w:t>
      </w:r>
      <w:r w:rsidRPr="00B0304D">
        <w:rPr>
          <w:sz w:val="24"/>
        </w:rPr>
        <w:t>and</w:t>
      </w:r>
    </w:p>
    <w:p w:rsidR="00AE6D8C" w:rsidRPr="00B0304D" w:rsidRDefault="002E60BA">
      <w:pPr>
        <w:pStyle w:val="ListParagraph"/>
        <w:numPr>
          <w:ilvl w:val="1"/>
          <w:numId w:val="1"/>
        </w:numPr>
        <w:tabs>
          <w:tab w:val="left" w:pos="1557"/>
        </w:tabs>
        <w:ind w:right="118"/>
        <w:jc w:val="both"/>
        <w:rPr>
          <w:sz w:val="24"/>
        </w:rPr>
      </w:pPr>
      <w:r w:rsidRPr="00B0304D">
        <w:rPr>
          <w:sz w:val="24"/>
        </w:rPr>
        <w:t>financial and related arrangements for the European Investment Bank</w:t>
      </w:r>
      <w:r w:rsidR="00B8787A" w:rsidRPr="00B0304D">
        <w:rPr>
          <w:sz w:val="24"/>
        </w:rPr>
        <w:fldChar w:fldCharType="begin"/>
      </w:r>
      <w:r w:rsidR="00B0351B" w:rsidRPr="00B0304D">
        <w:instrText xml:space="preserve"> XE "European Investment Bank" </w:instrText>
      </w:r>
      <w:r w:rsidR="00B8787A" w:rsidRPr="00B0304D">
        <w:rPr>
          <w:sz w:val="24"/>
        </w:rPr>
        <w:fldChar w:fldCharType="end"/>
      </w:r>
      <w:r w:rsidRPr="00B0304D">
        <w:rPr>
          <w:sz w:val="24"/>
        </w:rPr>
        <w:t>, the European Central Bank</w:t>
      </w:r>
      <w:r w:rsidR="00B8787A" w:rsidRPr="00B0304D">
        <w:rPr>
          <w:sz w:val="24"/>
        </w:rPr>
        <w:fldChar w:fldCharType="begin"/>
      </w:r>
      <w:r w:rsidR="00B0351B" w:rsidRPr="00B0304D">
        <w:instrText xml:space="preserve"> XE "European Central Bank" </w:instrText>
      </w:r>
      <w:r w:rsidR="00B8787A" w:rsidRPr="00B0304D">
        <w:rPr>
          <w:sz w:val="24"/>
        </w:rPr>
        <w:fldChar w:fldCharType="end"/>
      </w:r>
      <w:r w:rsidRPr="00B0304D">
        <w:rPr>
          <w:sz w:val="24"/>
        </w:rPr>
        <w:t>, European Union trust funds</w:t>
      </w:r>
      <w:r w:rsidR="00B8787A" w:rsidRPr="00B0304D">
        <w:rPr>
          <w:sz w:val="24"/>
        </w:rPr>
        <w:fldChar w:fldCharType="begin"/>
      </w:r>
      <w:r w:rsidR="00B0351B" w:rsidRPr="00B0304D">
        <w:instrText xml:space="preserve"> XE "European Union trust funds" </w:instrText>
      </w:r>
      <w:r w:rsidR="00B8787A" w:rsidRPr="00B0304D">
        <w:rPr>
          <w:sz w:val="24"/>
        </w:rPr>
        <w:fldChar w:fldCharType="end"/>
      </w:r>
      <w:r w:rsidRPr="00B0304D">
        <w:rPr>
          <w:sz w:val="24"/>
        </w:rPr>
        <w:t>, the Facility for Refugees in Turkey</w:t>
      </w:r>
      <w:r w:rsidR="00B8787A" w:rsidRPr="00B0304D">
        <w:rPr>
          <w:sz w:val="24"/>
        </w:rPr>
        <w:fldChar w:fldCharType="begin"/>
      </w:r>
      <w:r w:rsidR="00B0351B" w:rsidRPr="00B0304D">
        <w:instrText xml:space="preserve"> XE "Facility for Refugees in Turkey" </w:instrText>
      </w:r>
      <w:r w:rsidR="00B8787A" w:rsidRPr="00B0304D">
        <w:rPr>
          <w:sz w:val="24"/>
        </w:rPr>
        <w:fldChar w:fldCharType="end"/>
      </w:r>
      <w:r w:rsidRPr="00B0304D">
        <w:rPr>
          <w:sz w:val="24"/>
        </w:rPr>
        <w:t>, Council agencies and also the European Development</w:t>
      </w:r>
      <w:r w:rsidRPr="00B0304D">
        <w:rPr>
          <w:spacing w:val="-11"/>
          <w:sz w:val="24"/>
        </w:rPr>
        <w:t xml:space="preserve"> </w:t>
      </w:r>
      <w:r w:rsidRPr="00B0304D">
        <w:rPr>
          <w:sz w:val="24"/>
        </w:rPr>
        <w:t>Fund</w:t>
      </w:r>
      <w:r w:rsidR="00B8787A" w:rsidRPr="00B0304D">
        <w:rPr>
          <w:sz w:val="24"/>
        </w:rPr>
        <w:fldChar w:fldCharType="begin"/>
      </w:r>
      <w:r w:rsidR="00B0351B" w:rsidRPr="00B0304D">
        <w:instrText xml:space="preserve"> XE "European Development Fund" </w:instrText>
      </w:r>
      <w:r w:rsidR="00B8787A" w:rsidRPr="00B0304D">
        <w:rPr>
          <w:sz w:val="24"/>
        </w:rPr>
        <w:fldChar w:fldCharType="end"/>
      </w:r>
      <w:r w:rsidRPr="00B0304D">
        <w:rPr>
          <w:sz w:val="24"/>
        </w:rPr>
        <w:t>.</w:t>
      </w:r>
    </w:p>
    <w:p w:rsidR="00AE6D8C" w:rsidRPr="00B0304D" w:rsidRDefault="00AE6D8C">
      <w:pPr>
        <w:pStyle w:val="BodyText"/>
        <w:rPr>
          <w:sz w:val="26"/>
        </w:rPr>
      </w:pPr>
    </w:p>
    <w:p w:rsidR="00AE6D8C" w:rsidRPr="00B0304D" w:rsidRDefault="002E60BA">
      <w:pPr>
        <w:pStyle w:val="Heading2"/>
        <w:spacing w:before="221"/>
      </w:pPr>
      <w:r w:rsidRPr="00B0304D">
        <w:t>Components of the settlement</w:t>
      </w:r>
    </w:p>
    <w:p w:rsidR="00AE6D8C" w:rsidRPr="00B0304D" w:rsidRDefault="002E60BA">
      <w:pPr>
        <w:pStyle w:val="BodyText"/>
        <w:spacing w:before="114"/>
        <w:ind w:left="476"/>
      </w:pPr>
      <w:r w:rsidRPr="00B0304D">
        <w:rPr>
          <w:u w:val="single"/>
        </w:rPr>
        <w:t>UK participation in Union annual budgets to 2020</w:t>
      </w:r>
    </w:p>
    <w:p w:rsidR="00AE6D8C" w:rsidRPr="00B0304D" w:rsidRDefault="002E60BA" w:rsidP="00B0351B">
      <w:pPr>
        <w:pStyle w:val="ListParagraph"/>
        <w:numPr>
          <w:ilvl w:val="0"/>
          <w:numId w:val="1"/>
        </w:numPr>
        <w:tabs>
          <w:tab w:val="left" w:pos="837"/>
        </w:tabs>
        <w:spacing w:before="125" w:line="235" w:lineRule="auto"/>
        <w:ind w:right="117"/>
        <w:jc w:val="both"/>
      </w:pPr>
      <w:r w:rsidRPr="00B0304D">
        <w:rPr>
          <w:sz w:val="24"/>
        </w:rPr>
        <w:t>The UK will contribute to, and participate in, the implementation of the Union annual budgets</w:t>
      </w:r>
      <w:r w:rsidR="00B8787A" w:rsidRPr="00B0304D">
        <w:rPr>
          <w:sz w:val="24"/>
        </w:rPr>
        <w:fldChar w:fldCharType="begin"/>
      </w:r>
      <w:r w:rsidR="00B0351B" w:rsidRPr="00B0304D">
        <w:instrText xml:space="preserve"> XE "financial settlement:Union annual budgets" </w:instrText>
      </w:r>
      <w:r w:rsidR="00B8787A" w:rsidRPr="00B0304D">
        <w:rPr>
          <w:sz w:val="24"/>
        </w:rPr>
        <w:fldChar w:fldCharType="end"/>
      </w:r>
      <w:r w:rsidRPr="00B0304D">
        <w:rPr>
          <w:sz w:val="24"/>
        </w:rPr>
        <w:t xml:space="preserve"> for the years 2019 and 2020 as if it had remained in the Union (including revenue adjustments</w:t>
      </w:r>
      <w:r w:rsidRPr="00B0304D">
        <w:rPr>
          <w:position w:val="11"/>
          <w:sz w:val="16"/>
        </w:rPr>
        <w:t>5</w:t>
      </w:r>
      <w:r w:rsidRPr="00B0304D">
        <w:rPr>
          <w:sz w:val="24"/>
        </w:rPr>
        <w:t>), on the basis of the applicable Union legal provisions including the Own Resources legislation. By derogation, any amendments to the Multiannual Financial Framework Regulation or Own Resources Decision adopted after the date of withdrawal,</w:t>
      </w:r>
      <w:r w:rsidRPr="00B0304D">
        <w:rPr>
          <w:spacing w:val="11"/>
          <w:sz w:val="24"/>
        </w:rPr>
        <w:t xml:space="preserve"> </w:t>
      </w:r>
      <w:r w:rsidRPr="00B0304D">
        <w:rPr>
          <w:sz w:val="24"/>
        </w:rPr>
        <w:t>having</w:t>
      </w:r>
      <w:r w:rsidRPr="00B0304D">
        <w:rPr>
          <w:spacing w:val="8"/>
          <w:sz w:val="24"/>
        </w:rPr>
        <w:t xml:space="preserve"> </w:t>
      </w:r>
      <w:r w:rsidRPr="00B0304D">
        <w:rPr>
          <w:sz w:val="24"/>
        </w:rPr>
        <w:t>an</w:t>
      </w:r>
      <w:r w:rsidRPr="00B0304D">
        <w:rPr>
          <w:spacing w:val="11"/>
          <w:sz w:val="24"/>
        </w:rPr>
        <w:t xml:space="preserve"> </w:t>
      </w:r>
      <w:r w:rsidRPr="00B0304D">
        <w:rPr>
          <w:sz w:val="24"/>
        </w:rPr>
        <w:t>impact</w:t>
      </w:r>
      <w:r w:rsidRPr="00B0304D">
        <w:rPr>
          <w:spacing w:val="11"/>
          <w:sz w:val="24"/>
        </w:rPr>
        <w:t xml:space="preserve"> </w:t>
      </w:r>
      <w:r w:rsidRPr="00B0304D">
        <w:rPr>
          <w:sz w:val="24"/>
        </w:rPr>
        <w:t>on</w:t>
      </w:r>
      <w:r w:rsidRPr="00B0304D">
        <w:rPr>
          <w:spacing w:val="11"/>
          <w:sz w:val="24"/>
        </w:rPr>
        <w:t xml:space="preserve"> </w:t>
      </w:r>
      <w:r w:rsidRPr="00B0304D">
        <w:rPr>
          <w:sz w:val="24"/>
        </w:rPr>
        <w:t>the</w:t>
      </w:r>
      <w:r w:rsidRPr="00B0304D">
        <w:rPr>
          <w:spacing w:val="10"/>
          <w:sz w:val="24"/>
        </w:rPr>
        <w:t xml:space="preserve"> </w:t>
      </w:r>
      <w:r w:rsidRPr="00B0304D">
        <w:rPr>
          <w:sz w:val="24"/>
        </w:rPr>
        <w:t>UK’s</w:t>
      </w:r>
      <w:r w:rsidRPr="00B0304D">
        <w:rPr>
          <w:spacing w:val="13"/>
          <w:sz w:val="24"/>
        </w:rPr>
        <w:t xml:space="preserve"> </w:t>
      </w:r>
      <w:r w:rsidRPr="00B0304D">
        <w:rPr>
          <w:sz w:val="24"/>
        </w:rPr>
        <w:t>financial</w:t>
      </w:r>
      <w:r w:rsidRPr="00B0304D">
        <w:rPr>
          <w:spacing w:val="11"/>
          <w:sz w:val="24"/>
        </w:rPr>
        <w:t xml:space="preserve"> </w:t>
      </w:r>
      <w:r w:rsidRPr="00B0304D">
        <w:rPr>
          <w:sz w:val="24"/>
        </w:rPr>
        <w:t>obligations,</w:t>
      </w:r>
      <w:r w:rsidRPr="00B0304D">
        <w:rPr>
          <w:spacing w:val="11"/>
          <w:sz w:val="24"/>
        </w:rPr>
        <w:t xml:space="preserve"> </w:t>
      </w:r>
      <w:r w:rsidRPr="00B0304D">
        <w:rPr>
          <w:sz w:val="24"/>
        </w:rPr>
        <w:t>will</w:t>
      </w:r>
      <w:r w:rsidRPr="00B0304D">
        <w:rPr>
          <w:spacing w:val="11"/>
          <w:sz w:val="24"/>
        </w:rPr>
        <w:t xml:space="preserve"> </w:t>
      </w:r>
      <w:r w:rsidRPr="00B0304D">
        <w:rPr>
          <w:sz w:val="24"/>
        </w:rPr>
        <w:t>not</w:t>
      </w:r>
      <w:r w:rsidRPr="00B0304D">
        <w:rPr>
          <w:spacing w:val="11"/>
          <w:sz w:val="24"/>
        </w:rPr>
        <w:t xml:space="preserve"> </w:t>
      </w:r>
      <w:r w:rsidRPr="00B0304D">
        <w:rPr>
          <w:sz w:val="24"/>
        </w:rPr>
        <w:t>apply</w:t>
      </w:r>
      <w:r w:rsidRPr="00B0304D">
        <w:rPr>
          <w:spacing w:val="6"/>
          <w:sz w:val="24"/>
        </w:rPr>
        <w:t xml:space="preserve"> </w:t>
      </w:r>
      <w:r w:rsidRPr="00B0304D">
        <w:rPr>
          <w:sz w:val="24"/>
        </w:rPr>
        <w:t>to</w:t>
      </w:r>
      <w:r w:rsidRPr="00B0304D">
        <w:rPr>
          <w:spacing w:val="11"/>
          <w:sz w:val="24"/>
        </w:rPr>
        <w:t xml:space="preserve"> </w:t>
      </w:r>
      <w:r w:rsidRPr="00B0304D">
        <w:rPr>
          <w:sz w:val="24"/>
        </w:rPr>
        <w:t>the</w:t>
      </w:r>
      <w:r w:rsidR="00B0351B" w:rsidRPr="00B0304D">
        <w:rPr>
          <w:sz w:val="24"/>
        </w:rPr>
        <w:t xml:space="preserve"> </w:t>
      </w:r>
      <w:r w:rsidR="00B8787A" w:rsidRPr="00B0304D">
        <w:rPr>
          <w:sz w:val="24"/>
        </w:rPr>
        <w:fldChar w:fldCharType="begin"/>
      </w:r>
      <w:r w:rsidR="00B0351B" w:rsidRPr="00B0304D">
        <w:instrText xml:space="preserve"> XE "financial settlement:amendments following withdrawal" </w:instrText>
      </w:r>
      <w:r w:rsidR="00B8787A" w:rsidRPr="00B0304D">
        <w:rPr>
          <w:sz w:val="24"/>
        </w:rPr>
        <w:fldChar w:fldCharType="end"/>
      </w:r>
      <w:r w:rsidRPr="00B0304D">
        <w:t>UK.</w:t>
      </w:r>
    </w:p>
    <w:p w:rsidR="00AE6D8C" w:rsidRPr="00B0304D" w:rsidRDefault="00AE6D8C">
      <w:pPr>
        <w:pStyle w:val="BodyText"/>
        <w:rPr>
          <w:sz w:val="20"/>
        </w:rPr>
      </w:pPr>
    </w:p>
    <w:p w:rsidR="00AE6D8C" w:rsidRPr="00B0304D" w:rsidRDefault="00AE6D8C">
      <w:pPr>
        <w:pStyle w:val="BodyText"/>
        <w:spacing w:before="1"/>
      </w:pPr>
    </w:p>
    <w:p w:rsidR="00AE6D8C" w:rsidRPr="00B0304D" w:rsidRDefault="002E60BA">
      <w:pPr>
        <w:spacing w:before="96"/>
        <w:ind w:left="116" w:right="301"/>
        <w:rPr>
          <w:sz w:val="20"/>
        </w:rPr>
      </w:pPr>
      <w:r w:rsidRPr="00B0304D">
        <w:rPr>
          <w:position w:val="9"/>
          <w:sz w:val="13"/>
        </w:rPr>
        <w:t xml:space="preserve">5 </w:t>
      </w:r>
      <w:r w:rsidRPr="00B0304D">
        <w:rPr>
          <w:sz w:val="20"/>
        </w:rPr>
        <w:t>This will include the UK’s share of net financial corrections and fines imposed until 31 December 2020, once definitively settled.</w:t>
      </w:r>
    </w:p>
    <w:p w:rsidR="00AE6D8C" w:rsidRPr="00B0304D" w:rsidRDefault="00AE6D8C">
      <w:pPr>
        <w:rPr>
          <w:sz w:val="20"/>
        </w:rPr>
        <w:sectPr w:rsidR="00AE6D8C" w:rsidRPr="00B0304D">
          <w:pgSz w:w="11910" w:h="16840"/>
          <w:pgMar w:top="1580" w:right="1300" w:bottom="1240" w:left="1300" w:header="0" w:footer="1044" w:gutter="0"/>
          <w:cols w:space="720"/>
        </w:sectPr>
      </w:pPr>
    </w:p>
    <w:p w:rsidR="00AE6D8C" w:rsidRPr="00B0304D" w:rsidRDefault="002E60BA">
      <w:pPr>
        <w:pStyle w:val="ListParagraph"/>
        <w:numPr>
          <w:ilvl w:val="0"/>
          <w:numId w:val="1"/>
        </w:numPr>
        <w:tabs>
          <w:tab w:val="left" w:pos="837"/>
        </w:tabs>
        <w:spacing w:before="69"/>
        <w:ind w:right="117"/>
        <w:jc w:val="both"/>
        <w:rPr>
          <w:sz w:val="24"/>
        </w:rPr>
      </w:pPr>
      <w:r w:rsidRPr="00B0304D">
        <w:rPr>
          <w:sz w:val="24"/>
        </w:rPr>
        <w:lastRenderedPageBreak/>
        <w:t>The normal process of annual revenue adjustment in respect of the year 2020 will be completed in accordance with the Own Resources Decision and the other relevant Union provisions. Amounts to be returned to, or returned by, the UK will be calculated as if the UK had remained in the Union. The UK will also participate in the surplus exercise with respect to 2020. In the second phase of negotiations, some simplification of the revenue adjustment procedure</w:t>
      </w:r>
      <w:r w:rsidR="00B8787A" w:rsidRPr="00B0304D">
        <w:rPr>
          <w:sz w:val="24"/>
        </w:rPr>
        <w:fldChar w:fldCharType="begin"/>
      </w:r>
      <w:r w:rsidR="00B0351B" w:rsidRPr="00B0304D">
        <w:instrText xml:space="preserve"> XE "financial settlement:revenue adjustment procedure" </w:instrText>
      </w:r>
      <w:r w:rsidR="00B8787A" w:rsidRPr="00B0304D">
        <w:rPr>
          <w:sz w:val="24"/>
        </w:rPr>
        <w:fldChar w:fldCharType="end"/>
      </w:r>
      <w:r w:rsidRPr="00B0304D">
        <w:rPr>
          <w:sz w:val="24"/>
        </w:rPr>
        <w:t xml:space="preserve"> including time limitation could be agreed  between the UK and the</w:t>
      </w:r>
      <w:r w:rsidRPr="00B0304D">
        <w:rPr>
          <w:spacing w:val="-4"/>
          <w:sz w:val="24"/>
        </w:rPr>
        <w:t xml:space="preserve"> </w:t>
      </w:r>
      <w:r w:rsidRPr="00B0304D">
        <w:rPr>
          <w:sz w:val="24"/>
        </w:rPr>
        <w:t>Union.</w:t>
      </w:r>
    </w:p>
    <w:p w:rsidR="00AE6D8C" w:rsidRPr="00B0304D" w:rsidRDefault="002E60BA">
      <w:pPr>
        <w:pStyle w:val="BodyText"/>
        <w:spacing w:before="198"/>
        <w:ind w:left="476"/>
      </w:pPr>
      <w:r w:rsidRPr="00B0304D">
        <w:rPr>
          <w:u w:val="single"/>
        </w:rPr>
        <w:t>Outstanding commitments at the end of 2020 – Reste à liquider (RAL)</w:t>
      </w:r>
    </w:p>
    <w:p w:rsidR="00AE6D8C" w:rsidRPr="00B0304D" w:rsidRDefault="002E60BA">
      <w:pPr>
        <w:pStyle w:val="ListParagraph"/>
        <w:numPr>
          <w:ilvl w:val="0"/>
          <w:numId w:val="1"/>
        </w:numPr>
        <w:tabs>
          <w:tab w:val="left" w:pos="837"/>
        </w:tabs>
        <w:spacing w:before="119" w:line="242" w:lineRule="auto"/>
        <w:ind w:right="119"/>
        <w:jc w:val="both"/>
        <w:rPr>
          <w:sz w:val="24"/>
        </w:rPr>
      </w:pPr>
      <w:r w:rsidRPr="00B0304D">
        <w:rPr>
          <w:sz w:val="24"/>
        </w:rPr>
        <w:t>The UK will contribute its share of the fin</w:t>
      </w:r>
      <w:r w:rsidR="00B8787A" w:rsidRPr="00B0304D">
        <w:rPr>
          <w:sz w:val="24"/>
        </w:rPr>
        <w:fldChar w:fldCharType="begin"/>
      </w:r>
      <w:r w:rsidR="00B0351B" w:rsidRPr="00B0304D">
        <w:instrText xml:space="preserve"> XE "financial settlement:Reste à liquider (RAL)" </w:instrText>
      </w:r>
      <w:r w:rsidR="00B8787A" w:rsidRPr="00B0304D">
        <w:rPr>
          <w:sz w:val="24"/>
        </w:rPr>
        <w:fldChar w:fldCharType="end"/>
      </w:r>
      <w:r w:rsidRPr="00B0304D">
        <w:rPr>
          <w:sz w:val="24"/>
        </w:rPr>
        <w:t>ancing of the budgetary commitments outstanding at 31 December 2020</w:t>
      </w:r>
      <w:r w:rsidRPr="00B0304D">
        <w:rPr>
          <w:spacing w:val="-8"/>
          <w:sz w:val="24"/>
        </w:rPr>
        <w:t xml:space="preserve"> </w:t>
      </w:r>
      <w:r w:rsidRPr="00B0304D">
        <w:rPr>
          <w:sz w:val="24"/>
        </w:rPr>
        <w:t>(RAL).</w:t>
      </w:r>
    </w:p>
    <w:p w:rsidR="00AE6D8C" w:rsidRPr="00B0304D" w:rsidRDefault="002E60BA">
      <w:pPr>
        <w:pStyle w:val="BodyText"/>
        <w:spacing w:before="194"/>
        <w:ind w:left="476"/>
      </w:pPr>
      <w:r w:rsidRPr="00B0304D">
        <w:rPr>
          <w:u w:val="single"/>
        </w:rPr>
        <w:t>Liabilities, contingent liabilities and corresponding assets</w:t>
      </w:r>
    </w:p>
    <w:p w:rsidR="00AE6D8C" w:rsidRPr="00B0304D" w:rsidRDefault="002E60BA">
      <w:pPr>
        <w:pStyle w:val="ListParagraph"/>
        <w:numPr>
          <w:ilvl w:val="0"/>
          <w:numId w:val="1"/>
        </w:numPr>
        <w:tabs>
          <w:tab w:val="left" w:pos="837"/>
        </w:tabs>
        <w:spacing w:before="142" w:line="220" w:lineRule="auto"/>
        <w:ind w:right="110"/>
        <w:jc w:val="both"/>
        <w:rPr>
          <w:sz w:val="24"/>
        </w:rPr>
      </w:pPr>
      <w:r w:rsidRPr="00B0304D">
        <w:rPr>
          <w:sz w:val="24"/>
        </w:rPr>
        <w:t>The UK will contribute its share of the financing of the Union's liabilities</w:t>
      </w:r>
      <w:r w:rsidR="00B8787A" w:rsidRPr="00B0304D">
        <w:rPr>
          <w:sz w:val="24"/>
        </w:rPr>
        <w:fldChar w:fldCharType="begin"/>
      </w:r>
      <w:r w:rsidR="00B0351B" w:rsidRPr="00B0304D">
        <w:instrText xml:space="preserve"> XE "financial settlement:Union's liabilities" </w:instrText>
      </w:r>
      <w:r w:rsidR="00B8787A" w:rsidRPr="00B0304D">
        <w:rPr>
          <w:sz w:val="24"/>
        </w:rPr>
        <w:fldChar w:fldCharType="end"/>
      </w:r>
      <w:r w:rsidRPr="00B0304D">
        <w:rPr>
          <w:sz w:val="24"/>
        </w:rPr>
        <w:t xml:space="preserve"> incurred before 31 December 2020 except for liabilities with corresponding assets</w:t>
      </w:r>
      <w:r w:rsidRPr="00B0304D">
        <w:rPr>
          <w:position w:val="11"/>
          <w:sz w:val="16"/>
        </w:rPr>
        <w:t xml:space="preserve">6 </w:t>
      </w:r>
      <w:r w:rsidRPr="00B0304D">
        <w:rPr>
          <w:sz w:val="24"/>
        </w:rPr>
        <w:t>and any assets and liabilities which are related to the operation of the budget and the Own Resources</w:t>
      </w:r>
      <w:r w:rsidRPr="00B0304D">
        <w:rPr>
          <w:spacing w:val="-1"/>
          <w:sz w:val="24"/>
        </w:rPr>
        <w:t xml:space="preserve"> </w:t>
      </w:r>
      <w:r w:rsidRPr="00B0304D">
        <w:rPr>
          <w:sz w:val="24"/>
        </w:rPr>
        <w:t>Decision</w:t>
      </w:r>
      <w:r w:rsidRPr="00B0304D">
        <w:rPr>
          <w:position w:val="11"/>
          <w:sz w:val="16"/>
        </w:rPr>
        <w:t>7</w:t>
      </w:r>
      <w:r w:rsidRPr="00B0304D">
        <w:rPr>
          <w:sz w:val="24"/>
        </w:rPr>
        <w:t>.</w:t>
      </w:r>
    </w:p>
    <w:p w:rsidR="00AE6D8C" w:rsidRPr="00B0304D" w:rsidRDefault="00AE6D8C">
      <w:pPr>
        <w:pStyle w:val="BodyText"/>
        <w:spacing w:before="3"/>
      </w:pPr>
    </w:p>
    <w:p w:rsidR="00AE6D8C" w:rsidRPr="00B0304D" w:rsidRDefault="002E60BA" w:rsidP="004C315A">
      <w:pPr>
        <w:pStyle w:val="ListParagraph"/>
        <w:numPr>
          <w:ilvl w:val="0"/>
          <w:numId w:val="1"/>
        </w:numPr>
        <w:tabs>
          <w:tab w:val="left" w:pos="837"/>
        </w:tabs>
        <w:spacing w:line="273" w:lineRule="exact"/>
        <w:ind w:right="112"/>
        <w:jc w:val="both"/>
      </w:pPr>
      <w:r w:rsidRPr="00B0304D">
        <w:rPr>
          <w:sz w:val="24"/>
        </w:rPr>
        <w:t>The UK will remain liable for its share of the Union’s contingent liabilities</w:t>
      </w:r>
      <w:r w:rsidR="00B8787A" w:rsidRPr="00B0304D">
        <w:rPr>
          <w:sz w:val="24"/>
        </w:rPr>
        <w:fldChar w:fldCharType="begin"/>
      </w:r>
      <w:r w:rsidR="00B0351B" w:rsidRPr="00B0304D">
        <w:instrText xml:space="preserve"> XE "financial settlement:Union’s contingent liabilities" </w:instrText>
      </w:r>
      <w:r w:rsidR="00B8787A" w:rsidRPr="00B0304D">
        <w:rPr>
          <w:sz w:val="24"/>
        </w:rPr>
        <w:fldChar w:fldCharType="end"/>
      </w:r>
      <w:r w:rsidRPr="00B0304D">
        <w:rPr>
          <w:sz w:val="24"/>
        </w:rPr>
        <w:t xml:space="preserve"> as established at the date of withdrawal. For those related to guarantees given by the Union budget to support financial operations (e.g. back-to-back loans for financial assistance, financial operations managed by the EIB such as EFSI or the external lending mandate, financial operations managed by other financial institutions, Union budgetary financial instruments), the UK liability will be limited to decisions on each financial operation adopted prior to the date of withdrawal. By derogation, for contingent liabilities related to legal cases as a result of participation in the budget, programmes and policies, the cut-off date will be 31 December 2020</w:t>
      </w:r>
      <w:r w:rsidRPr="00B0304D">
        <w:rPr>
          <w:position w:val="11"/>
          <w:sz w:val="16"/>
        </w:rPr>
        <w:t>8</w:t>
      </w:r>
      <w:r w:rsidRPr="00B0304D">
        <w:rPr>
          <w:sz w:val="24"/>
        </w:rPr>
        <w:t xml:space="preserve">. </w:t>
      </w:r>
      <w:r w:rsidRPr="00B0304D">
        <w:rPr>
          <w:spacing w:val="-3"/>
          <w:sz w:val="24"/>
        </w:rPr>
        <w:t xml:space="preserve">In </w:t>
      </w:r>
      <w:r w:rsidRPr="00B0304D">
        <w:rPr>
          <w:sz w:val="24"/>
        </w:rPr>
        <w:t>the event of triggering</w:t>
      </w:r>
      <w:r w:rsidRPr="00B0304D">
        <w:rPr>
          <w:spacing w:val="16"/>
          <w:sz w:val="24"/>
        </w:rPr>
        <w:t xml:space="preserve"> </w:t>
      </w:r>
      <w:r w:rsidRPr="00B0304D">
        <w:rPr>
          <w:sz w:val="24"/>
        </w:rPr>
        <w:t>of</w:t>
      </w:r>
      <w:r w:rsidRPr="00B0304D">
        <w:rPr>
          <w:spacing w:val="18"/>
          <w:sz w:val="24"/>
        </w:rPr>
        <w:t xml:space="preserve"> </w:t>
      </w:r>
      <w:r w:rsidRPr="00B0304D">
        <w:rPr>
          <w:sz w:val="24"/>
        </w:rPr>
        <w:t>the</w:t>
      </w:r>
      <w:r w:rsidRPr="00B0304D">
        <w:rPr>
          <w:spacing w:val="18"/>
          <w:sz w:val="24"/>
        </w:rPr>
        <w:t xml:space="preserve"> </w:t>
      </w:r>
      <w:r w:rsidRPr="00B0304D">
        <w:rPr>
          <w:sz w:val="24"/>
        </w:rPr>
        <w:t>Union</w:t>
      </w:r>
      <w:r w:rsidRPr="00B0304D">
        <w:rPr>
          <w:spacing w:val="21"/>
          <w:sz w:val="24"/>
        </w:rPr>
        <w:t xml:space="preserve"> </w:t>
      </w:r>
      <w:r w:rsidRPr="00B0304D">
        <w:rPr>
          <w:sz w:val="24"/>
        </w:rPr>
        <w:t>contingent</w:t>
      </w:r>
      <w:r w:rsidRPr="00B0304D">
        <w:rPr>
          <w:spacing w:val="20"/>
          <w:sz w:val="24"/>
        </w:rPr>
        <w:t xml:space="preserve"> </w:t>
      </w:r>
      <w:r w:rsidRPr="00B0304D">
        <w:rPr>
          <w:sz w:val="24"/>
        </w:rPr>
        <w:t>liabilities</w:t>
      </w:r>
      <w:r w:rsidR="00B8787A" w:rsidRPr="00B0304D">
        <w:rPr>
          <w:sz w:val="24"/>
        </w:rPr>
        <w:fldChar w:fldCharType="begin"/>
      </w:r>
      <w:r w:rsidR="004C315A" w:rsidRPr="00B0304D">
        <w:instrText xml:space="preserve"> XE "financial settlement:Union contingent liabilities" </w:instrText>
      </w:r>
      <w:r w:rsidR="00B8787A" w:rsidRPr="00B0304D">
        <w:rPr>
          <w:sz w:val="24"/>
        </w:rPr>
        <w:fldChar w:fldCharType="end"/>
      </w:r>
      <w:r w:rsidRPr="00B0304D">
        <w:rPr>
          <w:spacing w:val="20"/>
          <w:sz w:val="24"/>
        </w:rPr>
        <w:t xml:space="preserve"> </w:t>
      </w:r>
      <w:r w:rsidRPr="00B0304D">
        <w:rPr>
          <w:sz w:val="24"/>
        </w:rPr>
        <w:t>for</w:t>
      </w:r>
      <w:r w:rsidRPr="00B0304D">
        <w:rPr>
          <w:spacing w:val="17"/>
          <w:sz w:val="24"/>
        </w:rPr>
        <w:t xml:space="preserve"> </w:t>
      </w:r>
      <w:r w:rsidRPr="00B0304D">
        <w:rPr>
          <w:sz w:val="24"/>
        </w:rPr>
        <w:t>which</w:t>
      </w:r>
      <w:r w:rsidRPr="00B0304D">
        <w:rPr>
          <w:spacing w:val="20"/>
          <w:sz w:val="24"/>
        </w:rPr>
        <w:t xml:space="preserve"> </w:t>
      </w:r>
      <w:r w:rsidRPr="00B0304D">
        <w:rPr>
          <w:sz w:val="24"/>
        </w:rPr>
        <w:t>the</w:t>
      </w:r>
      <w:r w:rsidRPr="00B0304D">
        <w:rPr>
          <w:spacing w:val="18"/>
          <w:sz w:val="24"/>
        </w:rPr>
        <w:t xml:space="preserve"> </w:t>
      </w:r>
      <w:r w:rsidRPr="00B0304D">
        <w:rPr>
          <w:sz w:val="24"/>
        </w:rPr>
        <w:t>UK</w:t>
      </w:r>
      <w:r w:rsidRPr="00B0304D">
        <w:rPr>
          <w:spacing w:val="18"/>
          <w:sz w:val="24"/>
        </w:rPr>
        <w:t xml:space="preserve"> </w:t>
      </w:r>
      <w:r w:rsidRPr="00B0304D">
        <w:rPr>
          <w:sz w:val="24"/>
        </w:rPr>
        <w:t>is</w:t>
      </w:r>
      <w:r w:rsidRPr="00B0304D">
        <w:rPr>
          <w:spacing w:val="20"/>
          <w:sz w:val="24"/>
        </w:rPr>
        <w:t xml:space="preserve"> </w:t>
      </w:r>
      <w:r w:rsidRPr="00B0304D">
        <w:rPr>
          <w:sz w:val="24"/>
        </w:rPr>
        <w:t>liable,</w:t>
      </w:r>
      <w:r w:rsidRPr="00B0304D">
        <w:rPr>
          <w:spacing w:val="18"/>
          <w:sz w:val="24"/>
        </w:rPr>
        <w:t xml:space="preserve"> </w:t>
      </w:r>
      <w:r w:rsidRPr="00B0304D">
        <w:rPr>
          <w:sz w:val="24"/>
        </w:rPr>
        <w:t>the</w:t>
      </w:r>
      <w:r w:rsidRPr="00B0304D">
        <w:rPr>
          <w:spacing w:val="18"/>
          <w:sz w:val="24"/>
        </w:rPr>
        <w:t xml:space="preserve"> </w:t>
      </w:r>
      <w:r w:rsidRPr="00B0304D">
        <w:rPr>
          <w:sz w:val="24"/>
        </w:rPr>
        <w:t>UK</w:t>
      </w:r>
      <w:r w:rsidRPr="00B0304D">
        <w:rPr>
          <w:spacing w:val="18"/>
          <w:sz w:val="24"/>
        </w:rPr>
        <w:t xml:space="preserve"> </w:t>
      </w:r>
      <w:r w:rsidRPr="00B0304D">
        <w:rPr>
          <w:sz w:val="24"/>
        </w:rPr>
        <w:t>will</w:t>
      </w:r>
      <w:r w:rsidR="004C315A" w:rsidRPr="00B0304D">
        <w:rPr>
          <w:sz w:val="24"/>
        </w:rPr>
        <w:t xml:space="preserve"> </w:t>
      </w:r>
      <w:r w:rsidRPr="00B0304D">
        <w:t>receive its share of any subsequent recoveries.</w:t>
      </w:r>
    </w:p>
    <w:p w:rsidR="00AE6D8C" w:rsidRPr="00B0304D" w:rsidRDefault="00AE6D8C">
      <w:pPr>
        <w:pStyle w:val="BodyText"/>
      </w:pPr>
    </w:p>
    <w:p w:rsidR="00AE6D8C" w:rsidRPr="00B0304D" w:rsidRDefault="002E60BA">
      <w:pPr>
        <w:pStyle w:val="ListParagraph"/>
        <w:numPr>
          <w:ilvl w:val="0"/>
          <w:numId w:val="1"/>
        </w:numPr>
        <w:tabs>
          <w:tab w:val="left" w:pos="837"/>
        </w:tabs>
        <w:ind w:right="119"/>
        <w:jc w:val="both"/>
        <w:rPr>
          <w:sz w:val="24"/>
        </w:rPr>
      </w:pPr>
      <w:r w:rsidRPr="00B0304D">
        <w:rPr>
          <w:sz w:val="24"/>
        </w:rPr>
        <w:t>As the provisioning needs for the financial operations associated with these contingent liabilities decline, the UK share of the paid-in guarantees</w:t>
      </w:r>
      <w:r w:rsidR="00B8787A" w:rsidRPr="00B0304D">
        <w:rPr>
          <w:sz w:val="24"/>
        </w:rPr>
        <w:fldChar w:fldCharType="begin"/>
      </w:r>
      <w:r w:rsidR="004C315A" w:rsidRPr="00B0304D">
        <w:instrText xml:space="preserve"> XE "financial settlement:paid-in guarantees" </w:instrText>
      </w:r>
      <w:r w:rsidR="00B8787A" w:rsidRPr="00B0304D">
        <w:rPr>
          <w:sz w:val="24"/>
        </w:rPr>
        <w:fldChar w:fldCharType="end"/>
      </w:r>
      <w:r w:rsidRPr="00B0304D">
        <w:rPr>
          <w:sz w:val="24"/>
        </w:rPr>
        <w:t xml:space="preserve"> constituted from the budget until the end of 2020 will be returned to the UK, provided that it has not been used for covering losses on the underlying financial operations, as well as any gains from these financial operations to be returned to all Member States, even if such funds would be recommitted.</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21"/>
        <w:jc w:val="both"/>
        <w:rPr>
          <w:sz w:val="24"/>
        </w:rPr>
      </w:pPr>
      <w:r w:rsidRPr="00B0304D">
        <w:rPr>
          <w:sz w:val="24"/>
        </w:rPr>
        <w:t>Similarly, as the financial operations supported by the net asset of the European Coal and Steel Community</w:t>
      </w:r>
      <w:r w:rsidR="00B8787A" w:rsidRPr="00B0304D">
        <w:rPr>
          <w:sz w:val="24"/>
        </w:rPr>
        <w:fldChar w:fldCharType="begin"/>
      </w:r>
      <w:r w:rsidR="004C315A" w:rsidRPr="00B0304D">
        <w:instrText xml:space="preserve"> XE "European Coal and Steel Community" </w:instrText>
      </w:r>
      <w:r w:rsidR="00B8787A" w:rsidRPr="00B0304D">
        <w:rPr>
          <w:sz w:val="24"/>
        </w:rPr>
        <w:fldChar w:fldCharType="end"/>
      </w:r>
      <w:r w:rsidRPr="00B0304D">
        <w:rPr>
          <w:sz w:val="24"/>
        </w:rPr>
        <w:t xml:space="preserve"> in liquidation and of the European Investment Fund</w:t>
      </w:r>
      <w:r w:rsidR="00B8787A" w:rsidRPr="00B0304D">
        <w:rPr>
          <w:sz w:val="24"/>
        </w:rPr>
        <w:fldChar w:fldCharType="begin"/>
      </w:r>
      <w:r w:rsidR="004C315A" w:rsidRPr="00B0304D">
        <w:instrText xml:space="preserve"> XE "European Investment Fund" </w:instrText>
      </w:r>
      <w:r w:rsidR="00B8787A" w:rsidRPr="00B0304D">
        <w:rPr>
          <w:sz w:val="24"/>
        </w:rPr>
        <w:fldChar w:fldCharType="end"/>
      </w:r>
      <w:r w:rsidRPr="00B0304D">
        <w:rPr>
          <w:sz w:val="24"/>
        </w:rPr>
        <w:t xml:space="preserve"> decided before the withdrawal date, mature, the UK will receive its</w:t>
      </w:r>
      <w:r w:rsidRPr="00B0304D">
        <w:rPr>
          <w:spacing w:val="-13"/>
          <w:sz w:val="24"/>
        </w:rPr>
        <w:t xml:space="preserve"> </w:t>
      </w:r>
      <w:r w:rsidRPr="00B0304D">
        <w:rPr>
          <w:sz w:val="24"/>
        </w:rPr>
        <w:t>share.</w:t>
      </w:r>
    </w:p>
    <w:p w:rsidR="00AE6D8C" w:rsidRPr="00B0304D" w:rsidRDefault="00AE6D8C">
      <w:pPr>
        <w:pStyle w:val="BodyText"/>
        <w:rPr>
          <w:sz w:val="20"/>
        </w:rPr>
      </w:pPr>
    </w:p>
    <w:p w:rsidR="00AE6D8C" w:rsidRPr="00B0304D" w:rsidRDefault="00AE6D8C">
      <w:pPr>
        <w:pStyle w:val="BodyText"/>
        <w:rPr>
          <w:sz w:val="20"/>
        </w:rPr>
      </w:pPr>
    </w:p>
    <w:p w:rsidR="00AE6D8C" w:rsidRPr="00B0304D" w:rsidRDefault="00AE6D8C">
      <w:pPr>
        <w:pStyle w:val="BodyText"/>
        <w:spacing w:before="9"/>
        <w:rPr>
          <w:sz w:val="19"/>
        </w:rPr>
      </w:pPr>
    </w:p>
    <w:p w:rsidR="00AE6D8C" w:rsidRPr="00B0304D" w:rsidRDefault="002E60BA">
      <w:pPr>
        <w:spacing w:before="96"/>
        <w:ind w:left="116" w:right="113"/>
        <w:rPr>
          <w:sz w:val="20"/>
        </w:rPr>
      </w:pPr>
      <w:r w:rsidRPr="00B0304D">
        <w:rPr>
          <w:position w:val="9"/>
          <w:sz w:val="13"/>
        </w:rPr>
        <w:t xml:space="preserve">6 </w:t>
      </w:r>
      <w:r w:rsidRPr="00B0304D">
        <w:rPr>
          <w:sz w:val="20"/>
        </w:rPr>
        <w:t>In this context, the following will not be included in the financial settlement: Union financial assistance loan assets and the associated balance sheet liabilities, and assets corresponding to property, plant and equipment and provisions related to the Joint Research Centre nuclear sites dismantlement, and all lease-related obligations and all provisions other than in respect of fines, legal cases and financial guarantee liabilities, intangible assets and inventories, any assets and liabilities relating to the management of foreign currency risk, accrued and deferred income.</w:t>
      </w:r>
    </w:p>
    <w:p w:rsidR="00AE6D8C" w:rsidRPr="00B0304D" w:rsidRDefault="002E60BA">
      <w:pPr>
        <w:spacing w:before="3" w:line="230" w:lineRule="exact"/>
        <w:ind w:left="116" w:right="135"/>
        <w:rPr>
          <w:sz w:val="20"/>
        </w:rPr>
      </w:pPr>
      <w:r w:rsidRPr="00B0304D">
        <w:rPr>
          <w:position w:val="9"/>
          <w:sz w:val="13"/>
        </w:rPr>
        <w:t xml:space="preserve">7 </w:t>
      </w:r>
      <w:r w:rsidRPr="00B0304D">
        <w:rPr>
          <w:sz w:val="20"/>
        </w:rPr>
        <w:t>Outstanding pre-financing advances, receivables, cash, payables, and accrued charges including those related to EAGF or already included in the budgetary RAL will not be included for the calculation of liabilities.</w:t>
      </w:r>
    </w:p>
    <w:p w:rsidR="00AE6D8C" w:rsidRPr="00B0304D" w:rsidRDefault="002E60BA">
      <w:pPr>
        <w:spacing w:line="228" w:lineRule="exact"/>
        <w:ind w:left="116"/>
        <w:rPr>
          <w:sz w:val="20"/>
        </w:rPr>
      </w:pPr>
      <w:r w:rsidRPr="00B0304D">
        <w:rPr>
          <w:position w:val="9"/>
          <w:sz w:val="13"/>
        </w:rPr>
        <w:t xml:space="preserve">8 </w:t>
      </w:r>
      <w:r w:rsidRPr="00B0304D">
        <w:rPr>
          <w:sz w:val="20"/>
        </w:rPr>
        <w:t>The triggering event will be decided in the second phase.</w:t>
      </w:r>
    </w:p>
    <w:p w:rsidR="00AE6D8C" w:rsidRPr="00B0304D" w:rsidRDefault="00AE6D8C">
      <w:pPr>
        <w:spacing w:line="228" w:lineRule="exact"/>
        <w:rPr>
          <w:sz w:val="20"/>
        </w:rPr>
        <w:sectPr w:rsidR="00AE6D8C" w:rsidRPr="00B0304D">
          <w:pgSz w:w="11910" w:h="16840"/>
          <w:pgMar w:top="1320" w:right="1300" w:bottom="1240" w:left="1300" w:header="0" w:footer="1044" w:gutter="0"/>
          <w:cols w:space="720"/>
        </w:sectPr>
      </w:pPr>
    </w:p>
    <w:p w:rsidR="00AE6D8C" w:rsidRPr="00B0304D" w:rsidRDefault="002E60BA">
      <w:pPr>
        <w:pStyle w:val="ListParagraph"/>
        <w:numPr>
          <w:ilvl w:val="0"/>
          <w:numId w:val="1"/>
        </w:numPr>
        <w:tabs>
          <w:tab w:val="left" w:pos="837"/>
        </w:tabs>
        <w:spacing w:before="69"/>
        <w:ind w:right="119"/>
        <w:jc w:val="both"/>
        <w:rPr>
          <w:sz w:val="24"/>
        </w:rPr>
      </w:pPr>
      <w:r w:rsidRPr="00B0304D">
        <w:rPr>
          <w:sz w:val="24"/>
        </w:rPr>
        <w:lastRenderedPageBreak/>
        <w:t>Union assets relating to Union space programmes</w:t>
      </w:r>
      <w:r w:rsidR="00B8787A" w:rsidRPr="00B0304D">
        <w:rPr>
          <w:sz w:val="24"/>
        </w:rPr>
        <w:fldChar w:fldCharType="begin"/>
      </w:r>
      <w:r w:rsidR="004C315A" w:rsidRPr="00B0304D">
        <w:instrText xml:space="preserve"> XE "space programmes" </w:instrText>
      </w:r>
      <w:r w:rsidR="00B8787A" w:rsidRPr="00B0304D">
        <w:rPr>
          <w:sz w:val="24"/>
        </w:rPr>
        <w:fldChar w:fldCharType="end"/>
      </w:r>
      <w:r w:rsidRPr="00B0304D">
        <w:rPr>
          <w:sz w:val="24"/>
        </w:rPr>
        <w:t xml:space="preserve"> (EGNOS, Galileo &amp; Copernicus)  are not part of the financial settlement. The UK’s past contribution to the financing of space assets could be discussed in the context of possible future access to the services offered.</w:t>
      </w:r>
    </w:p>
    <w:p w:rsidR="00AE6D8C" w:rsidRPr="00B0304D" w:rsidRDefault="00AE6D8C">
      <w:pPr>
        <w:pStyle w:val="BodyText"/>
        <w:rPr>
          <w:sz w:val="26"/>
        </w:rPr>
      </w:pPr>
    </w:p>
    <w:p w:rsidR="00AE6D8C" w:rsidRPr="00B0304D" w:rsidRDefault="002E60BA">
      <w:pPr>
        <w:pStyle w:val="Heading2"/>
        <w:spacing w:before="223"/>
      </w:pPr>
      <w:r w:rsidRPr="00B0304D">
        <w:t>Principles for calculating the value of the financial settlement</w:t>
      </w:r>
    </w:p>
    <w:p w:rsidR="00AE6D8C" w:rsidRPr="00B0304D" w:rsidRDefault="002E60BA">
      <w:pPr>
        <w:pStyle w:val="ListParagraph"/>
        <w:numPr>
          <w:ilvl w:val="0"/>
          <w:numId w:val="1"/>
        </w:numPr>
        <w:tabs>
          <w:tab w:val="left" w:pos="837"/>
        </w:tabs>
        <w:spacing w:before="112"/>
        <w:ind w:right="121"/>
        <w:jc w:val="both"/>
        <w:rPr>
          <w:sz w:val="24"/>
        </w:rPr>
      </w:pPr>
      <w:r w:rsidRPr="00B0304D">
        <w:rPr>
          <w:sz w:val="24"/>
        </w:rPr>
        <w:t>The implementation of the agreed methodology</w:t>
      </w:r>
      <w:r w:rsidR="00B8787A" w:rsidRPr="00B0304D">
        <w:rPr>
          <w:sz w:val="24"/>
        </w:rPr>
        <w:fldChar w:fldCharType="begin"/>
      </w:r>
      <w:r w:rsidR="004C315A" w:rsidRPr="00B0304D">
        <w:instrText xml:space="preserve"> XE "financial settlement:agreed methodology" </w:instrText>
      </w:r>
      <w:r w:rsidR="00B8787A" w:rsidRPr="00B0304D">
        <w:rPr>
          <w:sz w:val="24"/>
        </w:rPr>
        <w:fldChar w:fldCharType="end"/>
      </w:r>
      <w:r w:rsidRPr="00B0304D">
        <w:rPr>
          <w:sz w:val="24"/>
        </w:rPr>
        <w:t xml:space="preserve"> and the schedule of payments</w:t>
      </w:r>
      <w:r w:rsidR="00B8787A" w:rsidRPr="00B0304D">
        <w:rPr>
          <w:sz w:val="24"/>
        </w:rPr>
        <w:fldChar w:fldCharType="begin"/>
      </w:r>
      <w:r w:rsidR="004C315A" w:rsidRPr="00B0304D">
        <w:instrText xml:space="preserve"> XE "financial settlement:schedule of payments" </w:instrText>
      </w:r>
      <w:r w:rsidR="00B8787A" w:rsidRPr="00B0304D">
        <w:rPr>
          <w:sz w:val="24"/>
        </w:rPr>
        <w:fldChar w:fldCharType="end"/>
      </w:r>
      <w:r w:rsidRPr="00B0304D">
        <w:rPr>
          <w:sz w:val="24"/>
        </w:rPr>
        <w:t xml:space="preserve"> will be based on the following</w:t>
      </w:r>
      <w:r w:rsidRPr="00B0304D">
        <w:rPr>
          <w:spacing w:val="-5"/>
          <w:sz w:val="24"/>
        </w:rPr>
        <w:t xml:space="preserve"> </w:t>
      </w:r>
      <w:r w:rsidRPr="00B0304D">
        <w:rPr>
          <w:sz w:val="24"/>
        </w:rPr>
        <w:t>principles:</w:t>
      </w:r>
    </w:p>
    <w:p w:rsidR="00AE6D8C" w:rsidRPr="00B0304D" w:rsidRDefault="002E60BA">
      <w:pPr>
        <w:pStyle w:val="ListParagraph"/>
        <w:numPr>
          <w:ilvl w:val="1"/>
          <w:numId w:val="1"/>
        </w:numPr>
        <w:tabs>
          <w:tab w:val="left" w:pos="1557"/>
        </w:tabs>
        <w:ind w:right="115"/>
        <w:jc w:val="both"/>
        <w:rPr>
          <w:sz w:val="24"/>
        </w:rPr>
      </w:pPr>
      <w:r w:rsidRPr="00B0304D">
        <w:rPr>
          <w:sz w:val="24"/>
        </w:rPr>
        <w:t>The UK will not finance any commitments that do not require funding from Member States, and will receive a share of any financial benefits that would have fallen to it had it remained a Member State. In particular, the value of the RAL, as audited by the European Court of Auditors, will be adjusted to take into account the actual implementation of the Union’s commitments, taking into account decommitments and assigned revenue. The UK opt-outs leading  to non-participation in Union programmes existing at the date of withdrawal will continue to apply in respect of the financial</w:t>
      </w:r>
      <w:r w:rsidRPr="00B0304D">
        <w:rPr>
          <w:spacing w:val="-6"/>
          <w:sz w:val="24"/>
        </w:rPr>
        <w:t xml:space="preserve"> </w:t>
      </w:r>
      <w:r w:rsidRPr="00B0304D">
        <w:rPr>
          <w:sz w:val="24"/>
        </w:rPr>
        <w:t>settlement.</w:t>
      </w:r>
    </w:p>
    <w:p w:rsidR="00AE6D8C" w:rsidRPr="00B0304D" w:rsidRDefault="002E60BA">
      <w:pPr>
        <w:pStyle w:val="ListParagraph"/>
        <w:numPr>
          <w:ilvl w:val="1"/>
          <w:numId w:val="1"/>
        </w:numPr>
        <w:tabs>
          <w:tab w:val="left" w:pos="1557"/>
        </w:tabs>
        <w:ind w:right="116"/>
        <w:jc w:val="both"/>
        <w:rPr>
          <w:sz w:val="24"/>
        </w:rPr>
      </w:pPr>
      <w:r w:rsidRPr="00B0304D">
        <w:rPr>
          <w:sz w:val="24"/>
        </w:rPr>
        <w:t>Except for the UK payments relating to UK participation to Union annual budgets to 2020 as set out in paragraphs 59 and 60, the UK share in relation with the Union budget will be a percentage calculated as the ratio between the own resources made available by the UK from the year 2014 to 2020 and the own resources made available by all Member States, including the UK, during the same</w:t>
      </w:r>
      <w:r w:rsidRPr="00B0304D">
        <w:rPr>
          <w:spacing w:val="-5"/>
          <w:sz w:val="24"/>
        </w:rPr>
        <w:t xml:space="preserve"> </w:t>
      </w:r>
      <w:r w:rsidRPr="00B0304D">
        <w:rPr>
          <w:sz w:val="24"/>
        </w:rPr>
        <w:t>period.</w:t>
      </w:r>
    </w:p>
    <w:p w:rsidR="00AE6D8C" w:rsidRPr="00B0304D" w:rsidRDefault="002E60BA">
      <w:pPr>
        <w:pStyle w:val="ListParagraph"/>
        <w:numPr>
          <w:ilvl w:val="1"/>
          <w:numId w:val="1"/>
        </w:numPr>
        <w:tabs>
          <w:tab w:val="left" w:pos="1557"/>
        </w:tabs>
        <w:spacing w:before="8" w:line="232" w:lineRule="auto"/>
        <w:ind w:right="115"/>
        <w:jc w:val="both"/>
        <w:rPr>
          <w:sz w:val="24"/>
        </w:rPr>
      </w:pPr>
      <w:r w:rsidRPr="00B0304D">
        <w:rPr>
          <w:sz w:val="24"/>
        </w:rPr>
        <w:t>Payments arising from the financial settlement will become due as if the UK had remained a Member State. In particular, the UK will not be required to incur expenditures earlier than would be the case had it remained a Member State unless agreed by both sides.</w:t>
      </w:r>
      <w:r w:rsidRPr="00B0304D">
        <w:rPr>
          <w:position w:val="11"/>
          <w:sz w:val="16"/>
        </w:rPr>
        <w:t xml:space="preserve">9 </w:t>
      </w:r>
      <w:r w:rsidRPr="00B0304D">
        <w:rPr>
          <w:sz w:val="24"/>
        </w:rPr>
        <w:t>It may be appropriate for the UK and the Union</w:t>
      </w:r>
      <w:r w:rsidRPr="00B0304D">
        <w:rPr>
          <w:spacing w:val="40"/>
          <w:sz w:val="24"/>
        </w:rPr>
        <w:t xml:space="preserve"> </w:t>
      </w:r>
      <w:r w:rsidRPr="00B0304D">
        <w:rPr>
          <w:sz w:val="24"/>
        </w:rPr>
        <w:t>to</w:t>
      </w:r>
      <w:r w:rsidRPr="00B0304D">
        <w:rPr>
          <w:spacing w:val="40"/>
          <w:sz w:val="24"/>
        </w:rPr>
        <w:t xml:space="preserve"> </w:t>
      </w:r>
      <w:r w:rsidRPr="00B0304D">
        <w:rPr>
          <w:sz w:val="24"/>
        </w:rPr>
        <w:t>agree</w:t>
      </w:r>
      <w:r w:rsidRPr="00B0304D">
        <w:rPr>
          <w:spacing w:val="38"/>
          <w:sz w:val="24"/>
        </w:rPr>
        <w:t xml:space="preserve"> </w:t>
      </w:r>
      <w:r w:rsidRPr="00B0304D">
        <w:rPr>
          <w:sz w:val="24"/>
        </w:rPr>
        <w:t>on</w:t>
      </w:r>
      <w:r w:rsidRPr="00B0304D">
        <w:rPr>
          <w:spacing w:val="40"/>
          <w:sz w:val="24"/>
        </w:rPr>
        <w:t xml:space="preserve"> </w:t>
      </w:r>
      <w:r w:rsidRPr="00B0304D">
        <w:rPr>
          <w:sz w:val="24"/>
        </w:rPr>
        <w:t>a</w:t>
      </w:r>
      <w:r w:rsidRPr="00B0304D">
        <w:rPr>
          <w:spacing w:val="38"/>
          <w:sz w:val="24"/>
        </w:rPr>
        <w:t xml:space="preserve"> </w:t>
      </w:r>
      <w:r w:rsidRPr="00B0304D">
        <w:rPr>
          <w:sz w:val="24"/>
        </w:rPr>
        <w:t>simplified</w:t>
      </w:r>
      <w:r w:rsidRPr="00B0304D">
        <w:rPr>
          <w:spacing w:val="38"/>
          <w:sz w:val="24"/>
        </w:rPr>
        <w:t xml:space="preserve"> </w:t>
      </w:r>
      <w:r w:rsidRPr="00B0304D">
        <w:rPr>
          <w:sz w:val="24"/>
        </w:rPr>
        <w:t>procedure</w:t>
      </w:r>
      <w:r w:rsidR="00B8787A" w:rsidRPr="00B0304D">
        <w:rPr>
          <w:sz w:val="24"/>
        </w:rPr>
        <w:fldChar w:fldCharType="begin"/>
      </w:r>
      <w:r w:rsidR="004C315A" w:rsidRPr="00B0304D">
        <w:instrText xml:space="preserve"> XE "financial settlement:simplified procedure" </w:instrText>
      </w:r>
      <w:r w:rsidR="00B8787A" w:rsidRPr="00B0304D">
        <w:rPr>
          <w:sz w:val="24"/>
        </w:rPr>
        <w:fldChar w:fldCharType="end"/>
      </w:r>
      <w:r w:rsidRPr="00B0304D">
        <w:rPr>
          <w:spacing w:val="38"/>
          <w:sz w:val="24"/>
        </w:rPr>
        <w:t xml:space="preserve"> </w:t>
      </w:r>
      <w:r w:rsidRPr="00B0304D">
        <w:rPr>
          <w:sz w:val="24"/>
        </w:rPr>
        <w:t>for</w:t>
      </w:r>
      <w:r w:rsidRPr="00B0304D">
        <w:rPr>
          <w:spacing w:val="38"/>
          <w:sz w:val="24"/>
        </w:rPr>
        <w:t xml:space="preserve"> </w:t>
      </w:r>
      <w:r w:rsidRPr="00B0304D">
        <w:rPr>
          <w:sz w:val="24"/>
        </w:rPr>
        <w:t>settling</w:t>
      </w:r>
      <w:r w:rsidRPr="00B0304D">
        <w:rPr>
          <w:spacing w:val="37"/>
          <w:sz w:val="24"/>
        </w:rPr>
        <w:t xml:space="preserve"> </w:t>
      </w:r>
      <w:r w:rsidRPr="00B0304D">
        <w:rPr>
          <w:sz w:val="24"/>
        </w:rPr>
        <w:t>some</w:t>
      </w:r>
      <w:r w:rsidRPr="00B0304D">
        <w:rPr>
          <w:spacing w:val="40"/>
          <w:sz w:val="24"/>
        </w:rPr>
        <w:t xml:space="preserve"> </w:t>
      </w:r>
      <w:r w:rsidRPr="00B0304D">
        <w:rPr>
          <w:sz w:val="24"/>
        </w:rPr>
        <w:t>elements</w:t>
      </w:r>
      <w:r w:rsidRPr="00B0304D">
        <w:rPr>
          <w:spacing w:val="40"/>
          <w:sz w:val="24"/>
        </w:rPr>
        <w:t xml:space="preserve"> </w:t>
      </w:r>
      <w:r w:rsidRPr="00B0304D">
        <w:rPr>
          <w:sz w:val="24"/>
        </w:rPr>
        <w:t>of</w:t>
      </w:r>
      <w:r w:rsidRPr="00B0304D">
        <w:rPr>
          <w:spacing w:val="38"/>
          <w:sz w:val="24"/>
        </w:rPr>
        <w:t xml:space="preserve"> </w:t>
      </w:r>
      <w:r w:rsidRPr="00B0304D">
        <w:rPr>
          <w:sz w:val="24"/>
        </w:rPr>
        <w:t>the</w:t>
      </w:r>
    </w:p>
    <w:p w:rsidR="00AE6D8C" w:rsidRPr="00B0304D" w:rsidRDefault="002E60BA">
      <w:pPr>
        <w:pStyle w:val="BodyText"/>
        <w:ind w:left="1556" w:right="119"/>
        <w:jc w:val="both"/>
      </w:pPr>
      <w:r w:rsidRPr="00B0304D">
        <w:t>payment schedule in the second phase of negotiations. Such a procedure  should be based on an agreed forecast and, where appropriate, provision for subsequent review and</w:t>
      </w:r>
      <w:r w:rsidRPr="00B0304D">
        <w:rPr>
          <w:spacing w:val="-9"/>
        </w:rPr>
        <w:t xml:space="preserve"> </w:t>
      </w:r>
      <w:r w:rsidRPr="00B0304D">
        <w:t>correction.</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0"/>
        <w:jc w:val="left"/>
        <w:rPr>
          <w:sz w:val="24"/>
        </w:rPr>
      </w:pPr>
      <w:r w:rsidRPr="00B0304D">
        <w:rPr>
          <w:sz w:val="24"/>
        </w:rPr>
        <w:t>The financial settlement will be drawn up and paid</w:t>
      </w:r>
      <w:r w:rsidR="00B8787A" w:rsidRPr="00B0304D">
        <w:rPr>
          <w:sz w:val="24"/>
        </w:rPr>
        <w:fldChar w:fldCharType="begin"/>
      </w:r>
      <w:r w:rsidR="004C315A" w:rsidRPr="00B0304D">
        <w:instrText xml:space="preserve"> XE "financial settlement:currency" </w:instrText>
      </w:r>
      <w:r w:rsidR="00B8787A" w:rsidRPr="00B0304D">
        <w:rPr>
          <w:sz w:val="24"/>
        </w:rPr>
        <w:fldChar w:fldCharType="end"/>
      </w:r>
      <w:r w:rsidRPr="00B0304D">
        <w:rPr>
          <w:sz w:val="24"/>
        </w:rPr>
        <w:t xml:space="preserve"> in</w:t>
      </w:r>
      <w:r w:rsidRPr="00B0304D">
        <w:rPr>
          <w:spacing w:val="-10"/>
          <w:sz w:val="24"/>
        </w:rPr>
        <w:t xml:space="preserve"> </w:t>
      </w:r>
      <w:r w:rsidRPr="00B0304D">
        <w:rPr>
          <w:sz w:val="24"/>
        </w:rPr>
        <w:t>euro.</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6"/>
        <w:jc w:val="both"/>
        <w:rPr>
          <w:sz w:val="24"/>
        </w:rPr>
      </w:pPr>
      <w:r w:rsidRPr="00B0304D">
        <w:rPr>
          <w:sz w:val="24"/>
        </w:rPr>
        <w:t>Data for the calculation of UK obligations will be drawn up from publicly available sources where possible, and audited</w:t>
      </w:r>
      <w:r w:rsidR="00B8787A" w:rsidRPr="00B0304D">
        <w:rPr>
          <w:sz w:val="24"/>
        </w:rPr>
        <w:fldChar w:fldCharType="begin"/>
      </w:r>
      <w:r w:rsidR="004C315A" w:rsidRPr="00B0304D">
        <w:instrText xml:space="preserve"> XE "financial settlement:audit" </w:instrText>
      </w:r>
      <w:r w:rsidR="00B8787A" w:rsidRPr="00B0304D">
        <w:rPr>
          <w:sz w:val="24"/>
        </w:rPr>
        <w:fldChar w:fldCharType="end"/>
      </w:r>
      <w:r w:rsidRPr="00B0304D">
        <w:rPr>
          <w:sz w:val="24"/>
        </w:rPr>
        <w:t xml:space="preserve"> by the European Court of Auditors. Additional information necessary for the calculation of the UK’s share of Union obligations will be transmitted to the UK. The Union will provide the UK with the management and accounting information necessary to verify the components of the financial settlement in a timely</w:t>
      </w:r>
      <w:r w:rsidRPr="00B0304D">
        <w:rPr>
          <w:spacing w:val="-5"/>
          <w:sz w:val="24"/>
        </w:rPr>
        <w:t xml:space="preserve"> </w:t>
      </w:r>
      <w:r w:rsidRPr="00B0304D">
        <w:rPr>
          <w:sz w:val="24"/>
        </w:rPr>
        <w:t>manner.</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jc w:val="both"/>
        <w:rPr>
          <w:sz w:val="24"/>
        </w:rPr>
      </w:pPr>
      <w:r w:rsidRPr="00B0304D">
        <w:rPr>
          <w:sz w:val="24"/>
        </w:rPr>
        <w:t>The second phase of the negotiations</w:t>
      </w:r>
      <w:r w:rsidR="00B8787A" w:rsidRPr="00B0304D">
        <w:rPr>
          <w:sz w:val="24"/>
        </w:rPr>
        <w:fldChar w:fldCharType="begin"/>
      </w:r>
      <w:r w:rsidR="004C315A" w:rsidRPr="00B0304D">
        <w:instrText xml:space="preserve"> XE "financial settlement:second phase of the negotiations" </w:instrText>
      </w:r>
      <w:r w:rsidR="00B8787A" w:rsidRPr="00B0304D">
        <w:rPr>
          <w:sz w:val="24"/>
        </w:rPr>
        <w:fldChar w:fldCharType="end"/>
      </w:r>
      <w:r w:rsidRPr="00B0304D">
        <w:rPr>
          <w:sz w:val="24"/>
        </w:rPr>
        <w:t xml:space="preserve"> will address the practical modalities for implementing the agreed methodology and the schedule of</w:t>
      </w:r>
      <w:r w:rsidRPr="00B0304D">
        <w:rPr>
          <w:spacing w:val="-14"/>
          <w:sz w:val="24"/>
        </w:rPr>
        <w:t xml:space="preserve"> </w:t>
      </w:r>
      <w:r w:rsidRPr="00B0304D">
        <w:rPr>
          <w:sz w:val="24"/>
        </w:rPr>
        <w:t>payments.</w:t>
      </w:r>
    </w:p>
    <w:p w:rsidR="00AE6D8C" w:rsidRPr="00B0304D" w:rsidRDefault="00AE6D8C">
      <w:pPr>
        <w:pStyle w:val="BodyText"/>
        <w:spacing w:before="3"/>
        <w:rPr>
          <w:sz w:val="28"/>
        </w:rPr>
      </w:pPr>
    </w:p>
    <w:p w:rsidR="00AE6D8C" w:rsidRPr="00B0304D" w:rsidRDefault="002E60BA">
      <w:pPr>
        <w:spacing w:before="95"/>
        <w:ind w:left="116" w:right="113"/>
        <w:rPr>
          <w:sz w:val="20"/>
        </w:rPr>
      </w:pPr>
      <w:r w:rsidRPr="00B0304D">
        <w:rPr>
          <w:position w:val="9"/>
          <w:sz w:val="13"/>
        </w:rPr>
        <w:t xml:space="preserve">9 </w:t>
      </w:r>
      <w:r w:rsidRPr="00B0304D">
        <w:rPr>
          <w:sz w:val="20"/>
        </w:rPr>
        <w:t>The UK’s share of the liability related to pension and other post-employment benefits for Union staff and staff from the European Defence Agency, the European Union Institute for Security Studies and the European Union Satellite Centre as established on 31 December 2020 will be paid when these amounts fall due, unless an earlier schedule is agreed. The accounts record this liability in accordance with standard international accounting practice. This liability has a long time-span and the forecast of its net present value (NPV) depends on a number of assumptions and is sensitive to, in particular, the real discount rate, which has a historically low value at the time of drafting of this Joint Report.</w:t>
      </w:r>
    </w:p>
    <w:bookmarkEnd w:id="10"/>
    <w:p w:rsidR="00AE6D8C" w:rsidRPr="00B0304D" w:rsidRDefault="00AE6D8C">
      <w:pPr>
        <w:rPr>
          <w:sz w:val="20"/>
        </w:rPr>
        <w:sectPr w:rsidR="00AE6D8C" w:rsidRPr="00B0304D">
          <w:pgSz w:w="11910" w:h="16840"/>
          <w:pgMar w:top="1320" w:right="1300" w:bottom="1240" w:left="1300" w:header="0" w:footer="1044" w:gutter="0"/>
          <w:cols w:space="720"/>
        </w:sectPr>
      </w:pPr>
    </w:p>
    <w:p w:rsidR="00AE6D8C" w:rsidRPr="00B0304D" w:rsidRDefault="00AE6D8C">
      <w:pPr>
        <w:pStyle w:val="BodyText"/>
        <w:spacing w:before="1"/>
        <w:rPr>
          <w:sz w:val="21"/>
        </w:rPr>
      </w:pPr>
    </w:p>
    <w:p w:rsidR="00AE6D8C" w:rsidRPr="00B0304D" w:rsidRDefault="002E60BA">
      <w:pPr>
        <w:pStyle w:val="Heading2"/>
      </w:pPr>
      <w:bookmarkStart w:id="11" w:name="idxMFF"/>
      <w:r w:rsidRPr="00B0304D">
        <w:t>UK participation in programmes of the MFF 2014-2020</w:t>
      </w:r>
    </w:p>
    <w:p w:rsidR="00AE6D8C" w:rsidRPr="00B0304D" w:rsidRDefault="002E60BA">
      <w:pPr>
        <w:pStyle w:val="ListParagraph"/>
        <w:numPr>
          <w:ilvl w:val="0"/>
          <w:numId w:val="1"/>
        </w:numPr>
        <w:tabs>
          <w:tab w:val="left" w:pos="837"/>
        </w:tabs>
        <w:spacing w:before="115" w:line="276" w:lineRule="exact"/>
        <w:ind w:right="111"/>
        <w:jc w:val="both"/>
        <w:rPr>
          <w:sz w:val="24"/>
        </w:rPr>
      </w:pPr>
      <w:r w:rsidRPr="00B0304D">
        <w:rPr>
          <w:sz w:val="24"/>
        </w:rPr>
        <w:t>Following withdrawal from the Union, the UK will continue to participate in the  Union programmes financed by the MFF 2014-2020</w:t>
      </w:r>
      <w:r w:rsidRPr="00B0304D">
        <w:rPr>
          <w:position w:val="11"/>
          <w:sz w:val="16"/>
        </w:rPr>
        <w:t xml:space="preserve">10 </w:t>
      </w:r>
      <w:r w:rsidRPr="00B0304D">
        <w:rPr>
          <w:sz w:val="24"/>
        </w:rPr>
        <w:t>until their closure (excluding participation in financial operations which give rise to a contingent liability for which the UK is not liable as from the date of withdrawal). Entities located in the UK will be entitled to participate in such programmes. Participation in Union programmes will require the UK and UK beneficiaries to respect all relevant Union legal provisions including co-financing. Accordingly, the eligibility to apply to participate in Union programmes and Union funding for UK participants and projects will be unaffected by the UK’s withdrawal from the Union for the entire lifetime of such</w:t>
      </w:r>
      <w:r w:rsidRPr="00B0304D">
        <w:rPr>
          <w:spacing w:val="-29"/>
          <w:sz w:val="24"/>
        </w:rPr>
        <w:t xml:space="preserve"> </w:t>
      </w:r>
      <w:r w:rsidRPr="00B0304D">
        <w:rPr>
          <w:sz w:val="24"/>
        </w:rPr>
        <w:t>projects.</w:t>
      </w:r>
    </w:p>
    <w:p w:rsidR="00AE6D8C" w:rsidRPr="00B0304D" w:rsidRDefault="00AE6D8C">
      <w:pPr>
        <w:pStyle w:val="BodyText"/>
        <w:spacing w:before="7"/>
        <w:rPr>
          <w:sz w:val="23"/>
        </w:rPr>
      </w:pPr>
    </w:p>
    <w:p w:rsidR="00AE6D8C" w:rsidRPr="00B0304D" w:rsidRDefault="002E60BA">
      <w:pPr>
        <w:pStyle w:val="ListParagraph"/>
        <w:numPr>
          <w:ilvl w:val="0"/>
          <w:numId w:val="1"/>
        </w:numPr>
        <w:tabs>
          <w:tab w:val="left" w:pos="837"/>
        </w:tabs>
        <w:spacing w:before="1"/>
        <w:ind w:right="111"/>
        <w:jc w:val="both"/>
        <w:rPr>
          <w:sz w:val="24"/>
        </w:rPr>
      </w:pPr>
      <w:r w:rsidRPr="00B0304D">
        <w:rPr>
          <w:sz w:val="24"/>
        </w:rPr>
        <w:t>In the second phase of negotiations it could be agreed that some rules related to Union programmes that would be considered as not relevant in relation to a departing Member State would not apply. As part of the second phase of negotiations, the Union and the UK could also decide to agree to simplified procedures so as to avoid unnecessary administrative burdens extending well beyond the end of the current multiannual financial framework, provided that they respect the sound financial management of the Union budget and do not result in discrimination in favour of the UK or UK beneficiaries. The UK and the Union could also agree on administrative procedures to facilitate the management of specific</w:t>
      </w:r>
      <w:r w:rsidRPr="00B0304D">
        <w:rPr>
          <w:spacing w:val="-15"/>
          <w:sz w:val="24"/>
        </w:rPr>
        <w:t xml:space="preserve"> </w:t>
      </w:r>
      <w:r w:rsidRPr="00B0304D">
        <w:rPr>
          <w:sz w:val="24"/>
        </w:rPr>
        <w:t>programmes.</w:t>
      </w:r>
    </w:p>
    <w:p w:rsidR="00AE6D8C" w:rsidRPr="00B0304D" w:rsidRDefault="00AE6D8C">
      <w:pPr>
        <w:pStyle w:val="BodyText"/>
      </w:pPr>
    </w:p>
    <w:p w:rsidR="00AE6D8C" w:rsidRPr="00B0304D" w:rsidRDefault="002E60BA">
      <w:pPr>
        <w:pStyle w:val="ListParagraph"/>
        <w:numPr>
          <w:ilvl w:val="0"/>
          <w:numId w:val="1"/>
        </w:numPr>
        <w:tabs>
          <w:tab w:val="left" w:pos="837"/>
        </w:tabs>
        <w:ind w:right="125"/>
        <w:jc w:val="both"/>
        <w:rPr>
          <w:sz w:val="24"/>
        </w:rPr>
      </w:pPr>
      <w:r w:rsidRPr="00B0304D">
        <w:rPr>
          <w:sz w:val="24"/>
        </w:rPr>
        <w:t>The UK states that it may wish to participate in some Union budgetary programmes of the new MFF post-2020 as a non-Member</w:t>
      </w:r>
      <w:r w:rsidRPr="00B0304D">
        <w:rPr>
          <w:spacing w:val="-7"/>
          <w:sz w:val="24"/>
        </w:rPr>
        <w:t xml:space="preserve"> </w:t>
      </w:r>
      <w:r w:rsidRPr="00B0304D">
        <w:rPr>
          <w:sz w:val="24"/>
        </w:rPr>
        <w:t>State.</w:t>
      </w:r>
      <w:r w:rsidR="00B8787A" w:rsidRPr="00B0304D">
        <w:rPr>
          <w:sz w:val="24"/>
        </w:rPr>
        <w:fldChar w:fldCharType="begin"/>
      </w:r>
      <w:r w:rsidR="00250C5A" w:rsidRPr="00B0304D">
        <w:instrText xml:space="preserve"> XE "Multiannual Financial Framework</w:instrText>
      </w:r>
      <w:r w:rsidR="00F35CAE" w:rsidRPr="00B0304D">
        <w:instrText xml:space="preserve"> (MFF)</w:instrText>
      </w:r>
      <w:r w:rsidR="00250C5A" w:rsidRPr="00B0304D">
        <w:instrText xml:space="preserve">" \r "idxMFF" </w:instrText>
      </w:r>
      <w:r w:rsidR="00B8787A" w:rsidRPr="00B0304D">
        <w:rPr>
          <w:sz w:val="24"/>
        </w:rPr>
        <w:fldChar w:fldCharType="end"/>
      </w:r>
    </w:p>
    <w:p w:rsidR="00AE6D8C" w:rsidRPr="00B0304D" w:rsidRDefault="00AE6D8C">
      <w:pPr>
        <w:pStyle w:val="BodyText"/>
        <w:rPr>
          <w:sz w:val="26"/>
        </w:rPr>
      </w:pPr>
    </w:p>
    <w:bookmarkEnd w:id="11"/>
    <w:p w:rsidR="00AE6D8C" w:rsidRPr="00B0304D" w:rsidRDefault="002E60BA">
      <w:pPr>
        <w:pStyle w:val="Heading2"/>
        <w:spacing w:before="224"/>
      </w:pPr>
      <w:r w:rsidRPr="00B0304D">
        <w:t>Other components of the settlement – Union bodies and funds related to Union policies</w:t>
      </w:r>
    </w:p>
    <w:p w:rsidR="00AE6D8C" w:rsidRPr="00B0304D" w:rsidRDefault="002E60BA">
      <w:pPr>
        <w:pStyle w:val="BodyText"/>
        <w:spacing w:before="113"/>
        <w:ind w:left="476"/>
      </w:pPr>
      <w:bookmarkStart w:id="12" w:name="idxEIB"/>
      <w:r w:rsidRPr="00B0304D">
        <w:rPr>
          <w:u w:val="single"/>
        </w:rPr>
        <w:t>European Investment Bank (EIB)</w:t>
      </w:r>
    </w:p>
    <w:p w:rsidR="00AE6D8C" w:rsidRPr="00B0304D" w:rsidRDefault="002E60BA">
      <w:pPr>
        <w:pStyle w:val="ListParagraph"/>
        <w:numPr>
          <w:ilvl w:val="0"/>
          <w:numId w:val="1"/>
        </w:numPr>
        <w:tabs>
          <w:tab w:val="left" w:pos="837"/>
        </w:tabs>
        <w:spacing w:before="120"/>
        <w:ind w:right="119"/>
        <w:jc w:val="both"/>
        <w:rPr>
          <w:sz w:val="24"/>
        </w:rPr>
      </w:pPr>
      <w:r w:rsidRPr="00B0304D">
        <w:rPr>
          <w:sz w:val="24"/>
        </w:rPr>
        <w:t>The financial settlement should not disrupt the operational functioning of the EIB as a result of the UK withdrawal in relation to the stock of operations (i.e. loans and other financial instruments) at that</w:t>
      </w:r>
      <w:r w:rsidRPr="00B0304D">
        <w:rPr>
          <w:spacing w:val="-5"/>
          <w:sz w:val="24"/>
        </w:rPr>
        <w:t xml:space="preserve"> </w:t>
      </w:r>
      <w:r w:rsidRPr="00B0304D">
        <w:rPr>
          <w:sz w:val="24"/>
        </w:rPr>
        <w:t>point.</w:t>
      </w:r>
    </w:p>
    <w:p w:rsidR="00AE6D8C" w:rsidRPr="00B0304D" w:rsidRDefault="00AE6D8C">
      <w:pPr>
        <w:pStyle w:val="BodyText"/>
      </w:pPr>
    </w:p>
    <w:p w:rsidR="00AE6D8C" w:rsidRPr="00B0304D" w:rsidRDefault="002E60BA">
      <w:pPr>
        <w:pStyle w:val="ListParagraph"/>
        <w:numPr>
          <w:ilvl w:val="0"/>
          <w:numId w:val="1"/>
        </w:numPr>
        <w:tabs>
          <w:tab w:val="left" w:pos="837"/>
        </w:tabs>
        <w:jc w:val="both"/>
        <w:rPr>
          <w:sz w:val="24"/>
        </w:rPr>
      </w:pPr>
      <w:r w:rsidRPr="00B0304D">
        <w:rPr>
          <w:sz w:val="24"/>
        </w:rPr>
        <w:t>In this context, the UK will provide a guarantee for an amount equal to its callable capital on the day of withdrawal. This guarantee will be decreased in line with the amortisation of the stock of EIB operations at the date of withdrawal, starting on the date on which the outstanding stock reaches an amount equal to the total subscribed capital on the date of withdrawal and ending on the date it equals the total paid-in capital on the date of withdrawal, both as defined in the EIB</w:t>
      </w:r>
      <w:r w:rsidRPr="00B0304D">
        <w:rPr>
          <w:spacing w:val="-15"/>
          <w:sz w:val="24"/>
        </w:rPr>
        <w:t xml:space="preserve"> </w:t>
      </w:r>
      <w:r w:rsidRPr="00B0304D">
        <w:rPr>
          <w:sz w:val="24"/>
        </w:rPr>
        <w:t>statute.</w:t>
      </w:r>
    </w:p>
    <w:p w:rsidR="00AE6D8C" w:rsidRPr="00B0304D" w:rsidRDefault="00AE6D8C">
      <w:pPr>
        <w:pStyle w:val="BodyText"/>
        <w:spacing w:before="8"/>
      </w:pPr>
    </w:p>
    <w:p w:rsidR="00AE6D8C" w:rsidRPr="00B0304D" w:rsidRDefault="002E60BA">
      <w:pPr>
        <w:pStyle w:val="ListParagraph"/>
        <w:numPr>
          <w:ilvl w:val="0"/>
          <w:numId w:val="1"/>
        </w:numPr>
        <w:tabs>
          <w:tab w:val="left" w:pos="837"/>
        </w:tabs>
        <w:spacing w:line="232" w:lineRule="auto"/>
        <w:ind w:right="115"/>
        <w:jc w:val="both"/>
        <w:rPr>
          <w:sz w:val="24"/>
        </w:rPr>
      </w:pPr>
      <w:r w:rsidRPr="00B0304D">
        <w:rPr>
          <w:sz w:val="24"/>
        </w:rPr>
        <w:t>The UK share of the paid-in capital will be reimbursed in twelve annual instalments starting at the end of 2019</w:t>
      </w:r>
      <w:r w:rsidRPr="00B0304D">
        <w:rPr>
          <w:position w:val="11"/>
          <w:sz w:val="16"/>
        </w:rPr>
        <w:t>11</w:t>
      </w:r>
      <w:r w:rsidRPr="00B0304D">
        <w:rPr>
          <w:sz w:val="24"/>
        </w:rPr>
        <w:t>. The UK remains liable for the reimbursed amount of paid-in capital until the outstanding stock of EIB operations equals the total paid-in capital on the date of withdrawal, at which point the liability will start to be amortised in line with the remaining non-amortised</w:t>
      </w:r>
      <w:r w:rsidRPr="00B0304D">
        <w:rPr>
          <w:spacing w:val="-8"/>
          <w:sz w:val="24"/>
        </w:rPr>
        <w:t xml:space="preserve"> </w:t>
      </w:r>
      <w:r w:rsidRPr="00B0304D">
        <w:rPr>
          <w:sz w:val="24"/>
        </w:rPr>
        <w:t>operations.</w:t>
      </w:r>
    </w:p>
    <w:p w:rsidR="00AE6D8C" w:rsidRPr="00B0304D" w:rsidRDefault="00AE6D8C">
      <w:pPr>
        <w:pStyle w:val="BodyText"/>
        <w:rPr>
          <w:sz w:val="20"/>
        </w:rPr>
      </w:pPr>
    </w:p>
    <w:p w:rsidR="00AE6D8C" w:rsidRPr="00B0304D" w:rsidRDefault="00AE6D8C">
      <w:pPr>
        <w:pStyle w:val="BodyText"/>
        <w:rPr>
          <w:sz w:val="20"/>
        </w:rPr>
      </w:pPr>
    </w:p>
    <w:p w:rsidR="00AE6D8C" w:rsidRPr="00B0304D" w:rsidRDefault="00AE6D8C">
      <w:pPr>
        <w:pStyle w:val="BodyText"/>
        <w:spacing w:before="5"/>
        <w:rPr>
          <w:sz w:val="22"/>
        </w:rPr>
      </w:pPr>
    </w:p>
    <w:p w:rsidR="00AE6D8C" w:rsidRPr="00B0304D" w:rsidRDefault="002E60BA">
      <w:pPr>
        <w:spacing w:before="96" w:line="243" w:lineRule="exact"/>
        <w:ind w:left="116"/>
        <w:rPr>
          <w:sz w:val="20"/>
        </w:rPr>
      </w:pPr>
      <w:r w:rsidRPr="00B0304D">
        <w:rPr>
          <w:position w:val="9"/>
          <w:sz w:val="13"/>
        </w:rPr>
        <w:t xml:space="preserve">10 </w:t>
      </w:r>
      <w:r w:rsidRPr="00B0304D">
        <w:rPr>
          <w:sz w:val="20"/>
        </w:rPr>
        <w:t>European Agricultural Guarantee Fund scheme 2020 is not financed by the MFF 2014-2020.</w:t>
      </w:r>
    </w:p>
    <w:p w:rsidR="00AE6D8C" w:rsidRPr="00B0304D" w:rsidRDefault="002E60BA">
      <w:pPr>
        <w:spacing w:line="243" w:lineRule="exact"/>
        <w:ind w:left="116"/>
        <w:rPr>
          <w:sz w:val="20"/>
        </w:rPr>
      </w:pPr>
      <w:r w:rsidRPr="00B0304D">
        <w:rPr>
          <w:position w:val="9"/>
          <w:sz w:val="13"/>
        </w:rPr>
        <w:t xml:space="preserve">11 </w:t>
      </w:r>
      <w:r w:rsidRPr="00B0304D">
        <w:rPr>
          <w:sz w:val="20"/>
        </w:rPr>
        <w:t>The first eleven instalments will be EUR 300 000 000 each and the final one will be EUR 195 903 950.</w:t>
      </w:r>
    </w:p>
    <w:p w:rsidR="00AE6D8C" w:rsidRPr="00B0304D" w:rsidRDefault="00AE6D8C">
      <w:pPr>
        <w:spacing w:line="243" w:lineRule="exact"/>
        <w:rPr>
          <w:sz w:val="20"/>
        </w:rPr>
        <w:sectPr w:rsidR="00AE6D8C" w:rsidRPr="00B0304D">
          <w:pgSz w:w="11910" w:h="16840"/>
          <w:pgMar w:top="1580" w:right="1300" w:bottom="1240" w:left="1300" w:header="0" w:footer="1044" w:gutter="0"/>
          <w:cols w:space="720"/>
        </w:sectPr>
      </w:pPr>
    </w:p>
    <w:p w:rsidR="00AE6D8C" w:rsidRPr="00B0304D" w:rsidRDefault="002E60BA">
      <w:pPr>
        <w:pStyle w:val="ListParagraph"/>
        <w:numPr>
          <w:ilvl w:val="0"/>
          <w:numId w:val="1"/>
        </w:numPr>
        <w:tabs>
          <w:tab w:val="left" w:pos="477"/>
        </w:tabs>
        <w:spacing w:before="69"/>
        <w:ind w:left="476" w:right="118"/>
        <w:jc w:val="both"/>
        <w:rPr>
          <w:sz w:val="24"/>
        </w:rPr>
      </w:pPr>
      <w:r w:rsidRPr="00B0304D">
        <w:rPr>
          <w:sz w:val="24"/>
        </w:rPr>
        <w:lastRenderedPageBreak/>
        <w:t>Apart from these reimbursements, the EIB will not make any other payment, return or remuneration on account of the withdrawal of the UK from the EIB or on account of the provision by the UK of a</w:t>
      </w:r>
      <w:r w:rsidRPr="00B0304D">
        <w:rPr>
          <w:spacing w:val="-10"/>
          <w:sz w:val="24"/>
        </w:rPr>
        <w:t xml:space="preserve"> </w:t>
      </w:r>
      <w:r w:rsidRPr="00B0304D">
        <w:rPr>
          <w:sz w:val="24"/>
        </w:rPr>
        <w:t>guarantee.</w:t>
      </w:r>
    </w:p>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13"/>
        <w:jc w:val="both"/>
        <w:rPr>
          <w:sz w:val="24"/>
        </w:rPr>
      </w:pPr>
      <w:r w:rsidRPr="00B0304D">
        <w:rPr>
          <w:sz w:val="24"/>
        </w:rPr>
        <w:t>Any call to the callable guarantee or the paid-in (cash or guarantee) will be “pari- passu” with calls on or payments made by the Member States provided that it is used for covering operations at the withdrawal date or for covering risks (such as ALM (Asset-Liability management) risks or operational risks) attributable to the stock of operations at the date of withdrawal. For other such risks not associated with specific loans and not attributable to the stock of operations built after the date of withdrawal, the UK responsibility will be proportional to the ratio between the stock of outstanding operations and the total amount of operations at the date of the</w:t>
      </w:r>
      <w:r w:rsidRPr="00B0304D">
        <w:rPr>
          <w:spacing w:val="-12"/>
          <w:sz w:val="24"/>
        </w:rPr>
        <w:t xml:space="preserve"> </w:t>
      </w:r>
      <w:r w:rsidRPr="00B0304D">
        <w:rPr>
          <w:sz w:val="24"/>
        </w:rPr>
        <w:t>event.</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22"/>
        <w:jc w:val="both"/>
        <w:rPr>
          <w:sz w:val="24"/>
        </w:rPr>
      </w:pPr>
      <w:r w:rsidRPr="00B0304D">
        <w:rPr>
          <w:sz w:val="24"/>
        </w:rPr>
        <w:t>The UK will maintain the EIB's privileges and immunities under Protocols 5 and 7 annexed to the Treaties throughout the amortisation of the EIB's stock of operations at the date of</w:t>
      </w:r>
      <w:r w:rsidRPr="00B0304D">
        <w:rPr>
          <w:spacing w:val="-7"/>
          <w:sz w:val="24"/>
        </w:rPr>
        <w:t xml:space="preserve"> </w:t>
      </w:r>
      <w:r w:rsidRPr="00B0304D">
        <w:rPr>
          <w:sz w:val="24"/>
        </w:rPr>
        <w:t>withdrawal.</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16"/>
        <w:jc w:val="both"/>
        <w:rPr>
          <w:sz w:val="24"/>
        </w:rPr>
      </w:pPr>
      <w:r w:rsidRPr="00B0304D">
        <w:rPr>
          <w:sz w:val="24"/>
        </w:rPr>
        <w:t>The UK considers that there could be mutual benefit from a continuing arrangement between the UK and the EIB. The UK wishes to explore these possible arrangements in the second phase of the</w:t>
      </w:r>
      <w:r w:rsidRPr="00B0304D">
        <w:rPr>
          <w:spacing w:val="-9"/>
          <w:sz w:val="24"/>
        </w:rPr>
        <w:t xml:space="preserve"> </w:t>
      </w:r>
      <w:r w:rsidRPr="00B0304D">
        <w:rPr>
          <w:sz w:val="24"/>
        </w:rPr>
        <w:t>negotiations.</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122"/>
        <w:jc w:val="both"/>
        <w:rPr>
          <w:sz w:val="24"/>
        </w:rPr>
      </w:pPr>
      <w:r w:rsidRPr="00B0304D">
        <w:rPr>
          <w:sz w:val="24"/>
        </w:rPr>
        <w:t>After the date of withdrawal, UK projects will not be eligible for new operations from the EIB reserved for Member States, including those under Union</w:t>
      </w:r>
      <w:r w:rsidRPr="00B0304D">
        <w:rPr>
          <w:spacing w:val="-14"/>
          <w:sz w:val="24"/>
        </w:rPr>
        <w:t xml:space="preserve"> </w:t>
      </w:r>
      <w:r w:rsidRPr="00B0304D">
        <w:rPr>
          <w:sz w:val="24"/>
        </w:rPr>
        <w:t>mandates.</w:t>
      </w:r>
      <w:r w:rsidR="00B8787A" w:rsidRPr="00B0304D">
        <w:rPr>
          <w:sz w:val="24"/>
        </w:rPr>
        <w:fldChar w:fldCharType="begin"/>
      </w:r>
      <w:r w:rsidR="00250C5A" w:rsidRPr="00B0304D">
        <w:instrText xml:space="preserve"> XE "European Investment Bank" \r "idxEIB" </w:instrText>
      </w:r>
      <w:r w:rsidR="00B8787A" w:rsidRPr="00B0304D">
        <w:rPr>
          <w:sz w:val="24"/>
        </w:rPr>
        <w:fldChar w:fldCharType="end"/>
      </w:r>
    </w:p>
    <w:p w:rsidR="00AE6D8C" w:rsidRPr="00B0304D" w:rsidRDefault="00AE6D8C">
      <w:pPr>
        <w:pStyle w:val="BodyText"/>
        <w:spacing w:before="10"/>
        <w:rPr>
          <w:sz w:val="20"/>
        </w:rPr>
      </w:pPr>
    </w:p>
    <w:bookmarkEnd w:id="12"/>
    <w:p w:rsidR="00AE6D8C" w:rsidRPr="00B0304D" w:rsidRDefault="002E60BA">
      <w:pPr>
        <w:pStyle w:val="BodyText"/>
        <w:ind w:left="116"/>
      </w:pPr>
      <w:r w:rsidRPr="00B0304D">
        <w:rPr>
          <w:u w:val="single"/>
        </w:rPr>
        <w:t>European Central Bank (ECB)</w:t>
      </w:r>
    </w:p>
    <w:p w:rsidR="00AE6D8C" w:rsidRPr="00B0304D" w:rsidRDefault="002E60BA">
      <w:pPr>
        <w:pStyle w:val="ListParagraph"/>
        <w:numPr>
          <w:ilvl w:val="0"/>
          <w:numId w:val="1"/>
        </w:numPr>
        <w:tabs>
          <w:tab w:val="left" w:pos="477"/>
        </w:tabs>
        <w:spacing w:before="120"/>
        <w:ind w:left="476"/>
        <w:jc w:val="both"/>
        <w:rPr>
          <w:sz w:val="24"/>
        </w:rPr>
      </w:pPr>
      <w:bookmarkStart w:id="13" w:name="idxECB"/>
      <w:r w:rsidRPr="00B0304D">
        <w:rPr>
          <w:sz w:val="24"/>
        </w:rPr>
        <w:t>The paid-in capital of the UK in the ECB will be reimbursed to the Bank of England (BoE) after the date of withdrawal. Modalities and other practical arrangements will  be established by the ECB Governing Council following the rules of the Treaties and its Protocol</w:t>
      </w:r>
      <w:r w:rsidRPr="00B0304D">
        <w:rPr>
          <w:spacing w:val="-3"/>
          <w:sz w:val="24"/>
        </w:rPr>
        <w:t xml:space="preserve"> </w:t>
      </w:r>
      <w:r w:rsidRPr="00B0304D">
        <w:rPr>
          <w:sz w:val="24"/>
        </w:rPr>
        <w:t>4.</w:t>
      </w:r>
      <w:r w:rsidR="00B8787A" w:rsidRPr="00B0304D">
        <w:rPr>
          <w:sz w:val="24"/>
        </w:rPr>
        <w:fldChar w:fldCharType="begin"/>
      </w:r>
      <w:r w:rsidR="00093AD1" w:rsidRPr="00B0304D">
        <w:instrText xml:space="preserve"> XE "European Central Bank" \r "idxECB" </w:instrText>
      </w:r>
      <w:r w:rsidR="00B8787A" w:rsidRPr="00B0304D">
        <w:rPr>
          <w:sz w:val="24"/>
        </w:rPr>
        <w:fldChar w:fldCharType="end"/>
      </w:r>
    </w:p>
    <w:bookmarkEnd w:id="13"/>
    <w:p w:rsidR="00AE6D8C" w:rsidRPr="00B0304D" w:rsidRDefault="00AE6D8C">
      <w:pPr>
        <w:pStyle w:val="BodyText"/>
        <w:spacing w:before="7"/>
        <w:rPr>
          <w:sz w:val="20"/>
        </w:rPr>
      </w:pPr>
    </w:p>
    <w:p w:rsidR="00AE6D8C" w:rsidRPr="00B0304D" w:rsidRDefault="002E60BA">
      <w:pPr>
        <w:pStyle w:val="BodyText"/>
        <w:ind w:left="116"/>
      </w:pPr>
      <w:bookmarkStart w:id="14" w:name="idxRefugeesInTurkey"/>
      <w:r w:rsidRPr="00B0304D">
        <w:rPr>
          <w:u w:val="single"/>
        </w:rPr>
        <w:t>Facility for Refugees in Turkey, European Union trust funds</w:t>
      </w:r>
    </w:p>
    <w:p w:rsidR="00AE6D8C" w:rsidRPr="00B0304D" w:rsidRDefault="002E60BA">
      <w:pPr>
        <w:pStyle w:val="ListParagraph"/>
        <w:numPr>
          <w:ilvl w:val="0"/>
          <w:numId w:val="1"/>
        </w:numPr>
        <w:tabs>
          <w:tab w:val="left" w:pos="477"/>
        </w:tabs>
        <w:spacing w:before="119"/>
        <w:ind w:left="476" w:right="119"/>
        <w:jc w:val="both"/>
        <w:rPr>
          <w:sz w:val="24"/>
        </w:rPr>
      </w:pPr>
      <w:r w:rsidRPr="00B0304D">
        <w:rPr>
          <w:sz w:val="24"/>
        </w:rPr>
        <w:t>The UK will honour the commitments it made before withdrawal for participating in the Facility for Refugees in Turkey and the European Union Emergency Trust Fund</w:t>
      </w:r>
      <w:r w:rsidR="00B8787A" w:rsidRPr="00B0304D">
        <w:rPr>
          <w:sz w:val="24"/>
        </w:rPr>
        <w:fldChar w:fldCharType="begin"/>
      </w:r>
      <w:r w:rsidR="00250C5A" w:rsidRPr="00B0304D">
        <w:instrText xml:space="preserve"> XE "Emergency Trust Fund" \r "idxRefugeesInTurkey" </w:instrText>
      </w:r>
      <w:r w:rsidR="00B8787A" w:rsidRPr="00B0304D">
        <w:rPr>
          <w:sz w:val="24"/>
        </w:rPr>
        <w:fldChar w:fldCharType="end"/>
      </w:r>
      <w:r w:rsidRPr="00B0304D">
        <w:rPr>
          <w:sz w:val="24"/>
        </w:rPr>
        <w:t xml:space="preserve"> for stability and addressing root causes of irregular migration and displaced persons in Africa. The existing modalities of payments will be maintained unless otherwise agreed in the second</w:t>
      </w:r>
      <w:r w:rsidRPr="00B0304D">
        <w:rPr>
          <w:spacing w:val="-3"/>
          <w:sz w:val="24"/>
        </w:rPr>
        <w:t xml:space="preserve"> </w:t>
      </w:r>
      <w:r w:rsidRPr="00B0304D">
        <w:rPr>
          <w:sz w:val="24"/>
        </w:rPr>
        <w:t>phase.</w:t>
      </w:r>
      <w:r w:rsidR="00B8787A" w:rsidRPr="00B0304D">
        <w:rPr>
          <w:sz w:val="24"/>
        </w:rPr>
        <w:fldChar w:fldCharType="begin"/>
      </w:r>
      <w:r w:rsidR="00250C5A" w:rsidRPr="00B0304D">
        <w:instrText xml:space="preserve"> XE "Facility for Refugees In Turkey" \r "idxRefugeesInTurkey" </w:instrText>
      </w:r>
      <w:r w:rsidR="00B8787A" w:rsidRPr="00B0304D">
        <w:rPr>
          <w:sz w:val="24"/>
        </w:rPr>
        <w:fldChar w:fldCharType="end"/>
      </w:r>
    </w:p>
    <w:bookmarkEnd w:id="14"/>
    <w:p w:rsidR="00AE6D8C" w:rsidRPr="00B0304D" w:rsidRDefault="00AE6D8C">
      <w:pPr>
        <w:pStyle w:val="BodyText"/>
        <w:spacing w:before="7"/>
        <w:rPr>
          <w:sz w:val="20"/>
        </w:rPr>
      </w:pPr>
    </w:p>
    <w:p w:rsidR="00AE6D8C" w:rsidRPr="00B0304D" w:rsidRDefault="002E60BA">
      <w:pPr>
        <w:pStyle w:val="BodyText"/>
        <w:ind w:left="116"/>
      </w:pPr>
      <w:bookmarkStart w:id="15" w:name="idxEDF"/>
      <w:r w:rsidRPr="00B0304D">
        <w:rPr>
          <w:u w:val="single"/>
        </w:rPr>
        <w:t>European Development Fund (EDF)</w:t>
      </w:r>
    </w:p>
    <w:p w:rsidR="00AE6D8C" w:rsidRPr="00B0304D" w:rsidRDefault="002E60BA">
      <w:pPr>
        <w:pStyle w:val="ListParagraph"/>
        <w:numPr>
          <w:ilvl w:val="0"/>
          <w:numId w:val="1"/>
        </w:numPr>
        <w:tabs>
          <w:tab w:val="left" w:pos="477"/>
        </w:tabs>
        <w:spacing w:before="125" w:line="235" w:lineRule="auto"/>
        <w:ind w:left="476" w:right="118"/>
        <w:jc w:val="both"/>
        <w:rPr>
          <w:sz w:val="24"/>
        </w:rPr>
      </w:pPr>
      <w:r w:rsidRPr="00B0304D">
        <w:rPr>
          <w:sz w:val="24"/>
        </w:rPr>
        <w:t>The UK will remain party to the European Development Fund (EDF) which is governed by a separate international agreement and is outside the Union budget until the closure of the 11</w:t>
      </w:r>
      <w:r w:rsidRPr="00B0304D">
        <w:rPr>
          <w:position w:val="11"/>
          <w:sz w:val="16"/>
        </w:rPr>
        <w:t xml:space="preserve">th </w:t>
      </w:r>
      <w:r w:rsidRPr="00B0304D">
        <w:rPr>
          <w:sz w:val="24"/>
        </w:rPr>
        <w:t>EDF. The UK will honour its share of the total commitments made under this EDF and the payments related to its share of the outstanding commitments made under previous EDFs. The existing modalities of payments will be maintained unless otherwise agreed in the second</w:t>
      </w:r>
      <w:r w:rsidRPr="00B0304D">
        <w:rPr>
          <w:spacing w:val="-8"/>
          <w:sz w:val="24"/>
        </w:rPr>
        <w:t xml:space="preserve"> </w:t>
      </w:r>
      <w:r w:rsidRPr="00B0304D">
        <w:rPr>
          <w:sz w:val="24"/>
        </w:rPr>
        <w:t>phase.</w:t>
      </w:r>
    </w:p>
    <w:p w:rsidR="00AE6D8C" w:rsidRPr="00B0304D" w:rsidRDefault="00AE6D8C">
      <w:pPr>
        <w:pStyle w:val="BodyText"/>
        <w:spacing w:before="10"/>
      </w:pPr>
    </w:p>
    <w:p w:rsidR="00AE6D8C" w:rsidRPr="00B0304D" w:rsidRDefault="002E60BA">
      <w:pPr>
        <w:pStyle w:val="ListParagraph"/>
        <w:numPr>
          <w:ilvl w:val="0"/>
          <w:numId w:val="1"/>
        </w:numPr>
        <w:tabs>
          <w:tab w:val="left" w:pos="477"/>
        </w:tabs>
        <w:spacing w:line="230" w:lineRule="auto"/>
        <w:ind w:left="476" w:right="112"/>
        <w:jc w:val="both"/>
        <w:rPr>
          <w:sz w:val="24"/>
        </w:rPr>
      </w:pPr>
      <w:r w:rsidRPr="00B0304D">
        <w:rPr>
          <w:sz w:val="24"/>
        </w:rPr>
        <w:t>The UK share of the Investment Facility of the EDF from successive EDF periods will be returned to the UK as the investment matures. Unless agreed otherwise, the UK’s capital share will not be recommitted beyond the end of the 11</w:t>
      </w:r>
      <w:r w:rsidRPr="00B0304D">
        <w:rPr>
          <w:position w:val="11"/>
          <w:sz w:val="16"/>
        </w:rPr>
        <w:t xml:space="preserve">th </w:t>
      </w:r>
      <w:r w:rsidRPr="00B0304D">
        <w:rPr>
          <w:sz w:val="24"/>
        </w:rPr>
        <w:t xml:space="preserve">EDF commitment period or rolled over into subsequent  periods. Reflecting the ongoing </w:t>
      </w:r>
      <w:r w:rsidRPr="00B0304D">
        <w:rPr>
          <w:spacing w:val="10"/>
          <w:sz w:val="24"/>
        </w:rPr>
        <w:t xml:space="preserve"> </w:t>
      </w:r>
      <w:r w:rsidRPr="00B0304D">
        <w:rPr>
          <w:sz w:val="24"/>
        </w:rPr>
        <w:t>commitment  in</w:t>
      </w:r>
    </w:p>
    <w:p w:rsidR="00AE6D8C" w:rsidRPr="00B0304D" w:rsidRDefault="00AE6D8C">
      <w:pPr>
        <w:spacing w:line="230" w:lineRule="auto"/>
        <w:jc w:val="both"/>
        <w:rPr>
          <w:sz w:val="24"/>
        </w:rPr>
        <w:sectPr w:rsidR="00AE6D8C" w:rsidRPr="00B0304D">
          <w:pgSz w:w="11910" w:h="16840"/>
          <w:pgMar w:top="1320" w:right="1300" w:bottom="1240" w:left="1660" w:header="0" w:footer="1044" w:gutter="0"/>
          <w:cols w:space="720"/>
        </w:sectPr>
      </w:pPr>
    </w:p>
    <w:p w:rsidR="00AE6D8C" w:rsidRPr="00B0304D" w:rsidRDefault="002E60BA">
      <w:pPr>
        <w:pStyle w:val="BodyText"/>
        <w:spacing w:before="80" w:line="230" w:lineRule="auto"/>
        <w:ind w:left="836" w:right="111"/>
        <w:jc w:val="both"/>
      </w:pPr>
      <w:r w:rsidRPr="00B0304D">
        <w:lastRenderedPageBreak/>
        <w:t>relation to the EDF, the UK and the Union will agree on governance arrangements in the second phase, that take into account the continued participation of the UK in the 11</w:t>
      </w:r>
      <w:r w:rsidRPr="00B0304D">
        <w:rPr>
          <w:position w:val="11"/>
          <w:sz w:val="16"/>
        </w:rPr>
        <w:t xml:space="preserve">th </w:t>
      </w:r>
      <w:r w:rsidRPr="00B0304D">
        <w:t>EDF, that the EDF falls under a separate international agreement and the UK’s withdrawal from the Union.</w:t>
      </w:r>
    </w:p>
    <w:p w:rsidR="00AE6D8C" w:rsidRPr="00B0304D" w:rsidRDefault="00AE6D8C">
      <w:pPr>
        <w:pStyle w:val="BodyText"/>
        <w:spacing w:before="10"/>
        <w:rPr>
          <w:sz w:val="23"/>
        </w:rPr>
      </w:pPr>
    </w:p>
    <w:p w:rsidR="00AE6D8C" w:rsidRPr="00B0304D" w:rsidRDefault="002E60BA">
      <w:pPr>
        <w:pStyle w:val="ListParagraph"/>
        <w:numPr>
          <w:ilvl w:val="0"/>
          <w:numId w:val="1"/>
        </w:numPr>
        <w:tabs>
          <w:tab w:val="left" w:pos="837"/>
        </w:tabs>
        <w:spacing w:before="1"/>
        <w:ind w:right="117"/>
        <w:jc w:val="both"/>
        <w:rPr>
          <w:sz w:val="24"/>
        </w:rPr>
      </w:pPr>
      <w:r w:rsidRPr="00B0304D">
        <w:rPr>
          <w:sz w:val="24"/>
        </w:rPr>
        <w:t>The Commission welcomes the UK Government's offer to discuss with Union Agencies located in London how they might facilitate their relocation, in particular as regards reducing the withdrawal</w:t>
      </w:r>
      <w:r w:rsidRPr="00B0304D">
        <w:rPr>
          <w:spacing w:val="-11"/>
          <w:sz w:val="24"/>
        </w:rPr>
        <w:t xml:space="preserve"> </w:t>
      </w:r>
      <w:r w:rsidRPr="00B0304D">
        <w:rPr>
          <w:sz w:val="24"/>
        </w:rPr>
        <w:t>costs.</w:t>
      </w:r>
      <w:r w:rsidR="00B8787A" w:rsidRPr="00B0304D">
        <w:rPr>
          <w:sz w:val="24"/>
        </w:rPr>
        <w:fldChar w:fldCharType="begin"/>
      </w:r>
      <w:r w:rsidR="00093AD1" w:rsidRPr="00B0304D">
        <w:instrText xml:space="preserve"> XE "European Development Fund" \r "idxEDF" </w:instrText>
      </w:r>
      <w:r w:rsidR="00B8787A" w:rsidRPr="00B0304D">
        <w:rPr>
          <w:sz w:val="24"/>
        </w:rPr>
        <w:fldChar w:fldCharType="end"/>
      </w:r>
    </w:p>
    <w:p w:rsidR="00AE6D8C" w:rsidRPr="00B0304D" w:rsidRDefault="00AE6D8C">
      <w:pPr>
        <w:pStyle w:val="BodyText"/>
        <w:rPr>
          <w:sz w:val="26"/>
        </w:rPr>
      </w:pPr>
    </w:p>
    <w:bookmarkEnd w:id="15"/>
    <w:p w:rsidR="00AE6D8C" w:rsidRPr="00B0304D" w:rsidRDefault="00AE6D8C">
      <w:pPr>
        <w:pStyle w:val="BodyText"/>
        <w:spacing w:before="7"/>
        <w:rPr>
          <w:sz w:val="26"/>
        </w:rPr>
      </w:pPr>
    </w:p>
    <w:p w:rsidR="00AE6D8C" w:rsidRPr="00B0304D" w:rsidRDefault="002E60BA">
      <w:pPr>
        <w:pStyle w:val="Heading1"/>
        <w:spacing w:before="1"/>
      </w:pPr>
      <w:r w:rsidRPr="00B0304D">
        <w:t>Other separation issues</w:t>
      </w:r>
    </w:p>
    <w:p w:rsidR="00AE6D8C" w:rsidRPr="00B0304D" w:rsidRDefault="002E60BA">
      <w:pPr>
        <w:pStyle w:val="ListParagraph"/>
        <w:numPr>
          <w:ilvl w:val="0"/>
          <w:numId w:val="1"/>
        </w:numPr>
        <w:tabs>
          <w:tab w:val="left" w:pos="837"/>
        </w:tabs>
        <w:spacing w:before="193"/>
        <w:ind w:right="118"/>
        <w:jc w:val="both"/>
        <w:rPr>
          <w:sz w:val="24"/>
        </w:rPr>
      </w:pPr>
      <w:r w:rsidRPr="00B0304D">
        <w:rPr>
          <w:sz w:val="24"/>
        </w:rPr>
        <w:t>In the negotiations to date, both Parties have engaged in thorough discussion of the other separation issues in scope in this phase. These discussions have enabled good progress in identifying areas of convergence and divergence. The below text records the progress made in achieving agreement on a number of issues. There remain areas where further discussions will be required to reach agreement during the next phase of negotiations.</w:t>
      </w:r>
    </w:p>
    <w:p w:rsidR="00AE6D8C" w:rsidRPr="00B0304D" w:rsidRDefault="00AE6D8C">
      <w:pPr>
        <w:pStyle w:val="BodyText"/>
      </w:pPr>
    </w:p>
    <w:p w:rsidR="00AE6D8C" w:rsidRPr="00B0304D" w:rsidRDefault="002E60BA">
      <w:pPr>
        <w:pStyle w:val="ListParagraph"/>
        <w:numPr>
          <w:ilvl w:val="0"/>
          <w:numId w:val="1"/>
        </w:numPr>
        <w:tabs>
          <w:tab w:val="left" w:pos="837"/>
        </w:tabs>
        <w:ind w:right="116"/>
        <w:jc w:val="both"/>
        <w:rPr>
          <w:sz w:val="24"/>
        </w:rPr>
      </w:pPr>
      <w:r w:rsidRPr="00B0304D">
        <w:rPr>
          <w:sz w:val="24"/>
        </w:rPr>
        <w:t>The UK and the Commission have both proposed further issues for consideration in this phase. However, where there was not mutual agreement that an issue should be discussed in this phase of the negotiations, it has been agreed to return to it</w:t>
      </w:r>
      <w:r w:rsidRPr="00B0304D">
        <w:rPr>
          <w:spacing w:val="-14"/>
          <w:sz w:val="24"/>
        </w:rPr>
        <w:t xml:space="preserve"> </w:t>
      </w:r>
      <w:r w:rsidRPr="00B0304D">
        <w:rPr>
          <w:sz w:val="24"/>
        </w:rPr>
        <w:t>later.</w:t>
      </w:r>
    </w:p>
    <w:p w:rsidR="00AE6D8C" w:rsidRPr="00B0304D" w:rsidRDefault="00AE6D8C">
      <w:pPr>
        <w:pStyle w:val="BodyText"/>
      </w:pPr>
    </w:p>
    <w:p w:rsidR="00AE6D8C" w:rsidRPr="00B0304D" w:rsidRDefault="002E60BA">
      <w:pPr>
        <w:pStyle w:val="ListParagraph"/>
        <w:numPr>
          <w:ilvl w:val="0"/>
          <w:numId w:val="1"/>
        </w:numPr>
        <w:tabs>
          <w:tab w:val="left" w:pos="837"/>
        </w:tabs>
        <w:jc w:val="both"/>
        <w:rPr>
          <w:sz w:val="24"/>
        </w:rPr>
      </w:pPr>
      <w:bookmarkStart w:id="16" w:name="idxEuratom"/>
      <w:r w:rsidRPr="00B0304D">
        <w:rPr>
          <w:sz w:val="24"/>
        </w:rPr>
        <w:t xml:space="preserve">On </w:t>
      </w:r>
      <w:r w:rsidRPr="00B0304D">
        <w:rPr>
          <w:b/>
          <w:sz w:val="24"/>
        </w:rPr>
        <w:t xml:space="preserve">Euratom-related (nuclear specific) issues </w:t>
      </w:r>
      <w:r w:rsidRPr="00B0304D">
        <w:rPr>
          <w:sz w:val="24"/>
        </w:rPr>
        <w:t>both Parties have agreed principles for addressing the key separation issues relating to the UK’s withdrawal from Euratom. This includes agreement that the UK will be responsible for international nuclear safeguards in the UK and is committed to a future regime that provides coverage and effectiveness equivalent to existing Euratom arrangements. Both sides have also agreed the principles of ownership for special fissile material (save for material held in the UK by EU27 entities) and responsibility for spent fuel and radioactive</w:t>
      </w:r>
      <w:r w:rsidRPr="00B0304D">
        <w:rPr>
          <w:spacing w:val="-17"/>
          <w:sz w:val="24"/>
        </w:rPr>
        <w:t xml:space="preserve"> </w:t>
      </w:r>
      <w:r w:rsidRPr="00B0304D">
        <w:rPr>
          <w:sz w:val="24"/>
        </w:rPr>
        <w:t>waste.</w:t>
      </w:r>
      <w:r w:rsidR="00B8787A" w:rsidRPr="00B0304D">
        <w:rPr>
          <w:sz w:val="24"/>
        </w:rPr>
        <w:fldChar w:fldCharType="begin"/>
      </w:r>
      <w:r w:rsidR="00250C5A" w:rsidRPr="00B0304D">
        <w:instrText xml:space="preserve"> XE "Euratom" \r "idxEuratom" </w:instrText>
      </w:r>
      <w:r w:rsidR="00B8787A" w:rsidRPr="00B0304D">
        <w:rPr>
          <w:sz w:val="24"/>
        </w:rPr>
        <w:fldChar w:fldCharType="end"/>
      </w:r>
    </w:p>
    <w:bookmarkEnd w:id="16"/>
    <w:p w:rsidR="00AE6D8C" w:rsidRPr="00B0304D" w:rsidRDefault="00AE6D8C">
      <w:pPr>
        <w:pStyle w:val="BodyText"/>
      </w:pPr>
    </w:p>
    <w:p w:rsidR="00AE6D8C" w:rsidRPr="00B0304D" w:rsidRDefault="002E60BA">
      <w:pPr>
        <w:pStyle w:val="ListParagraph"/>
        <w:numPr>
          <w:ilvl w:val="0"/>
          <w:numId w:val="1"/>
        </w:numPr>
        <w:tabs>
          <w:tab w:val="left" w:pos="837"/>
        </w:tabs>
        <w:ind w:right="116"/>
        <w:jc w:val="both"/>
        <w:rPr>
          <w:sz w:val="24"/>
        </w:rPr>
      </w:pPr>
      <w:bookmarkStart w:id="17" w:name="idxAvailabilityOfGoods"/>
      <w:r w:rsidRPr="00B0304D">
        <w:rPr>
          <w:sz w:val="24"/>
        </w:rPr>
        <w:t xml:space="preserve">On </w:t>
      </w:r>
      <w:r w:rsidRPr="00B0304D">
        <w:rPr>
          <w:b/>
          <w:sz w:val="24"/>
        </w:rPr>
        <w:t xml:space="preserve">ensuring continuity in the availability of goods placed on the market under Union law before withdrawal </w:t>
      </w:r>
      <w:r w:rsidRPr="00B0304D">
        <w:rPr>
          <w:sz w:val="24"/>
        </w:rPr>
        <w:t>both Parties recognise the need to provide legal certainty and minimise disruption to business and consumers. Both Parties have  agreed the principles that the goods placed on the market under Union law before withdrawal may freely circulate on the markets of the UK and the Union with no need for product modifications or re-labelling; be put into service where provided in Union law, and that the goods concerned should be subject to continued</w:t>
      </w:r>
      <w:r w:rsidRPr="00B0304D">
        <w:rPr>
          <w:spacing w:val="-11"/>
          <w:sz w:val="24"/>
        </w:rPr>
        <w:t xml:space="preserve"> </w:t>
      </w:r>
      <w:r w:rsidRPr="00B0304D">
        <w:rPr>
          <w:sz w:val="24"/>
        </w:rPr>
        <w:t>oversight</w:t>
      </w:r>
      <w:r w:rsidR="00B8787A" w:rsidRPr="00B0304D">
        <w:rPr>
          <w:sz w:val="24"/>
        </w:rPr>
        <w:fldChar w:fldCharType="begin"/>
      </w:r>
      <w:r w:rsidR="00093AD1" w:rsidRPr="00B0304D">
        <w:instrText xml:space="preserve"> XE "availability of goods" \r "idxAvailabilityOfGoods" </w:instrText>
      </w:r>
      <w:r w:rsidR="00B8787A" w:rsidRPr="00B0304D">
        <w:rPr>
          <w:sz w:val="24"/>
        </w:rPr>
        <w:fldChar w:fldCharType="end"/>
      </w:r>
      <w:r w:rsidRPr="00B0304D">
        <w:rPr>
          <w:sz w:val="24"/>
        </w:rPr>
        <w:t>.</w:t>
      </w:r>
    </w:p>
    <w:bookmarkEnd w:id="17"/>
    <w:p w:rsidR="00AE6D8C" w:rsidRPr="00B0304D" w:rsidRDefault="00AE6D8C">
      <w:pPr>
        <w:pStyle w:val="BodyText"/>
      </w:pPr>
    </w:p>
    <w:p w:rsidR="00AE6D8C" w:rsidRPr="00B0304D" w:rsidRDefault="002E60BA">
      <w:pPr>
        <w:pStyle w:val="ListParagraph"/>
        <w:numPr>
          <w:ilvl w:val="0"/>
          <w:numId w:val="1"/>
        </w:numPr>
        <w:tabs>
          <w:tab w:val="left" w:pos="837"/>
        </w:tabs>
        <w:ind w:right="111"/>
        <w:jc w:val="both"/>
        <w:rPr>
          <w:sz w:val="24"/>
        </w:rPr>
      </w:pPr>
      <w:bookmarkStart w:id="18" w:name="idxCooperation"/>
      <w:r w:rsidRPr="00B0304D">
        <w:rPr>
          <w:sz w:val="24"/>
        </w:rPr>
        <w:t xml:space="preserve">On </w:t>
      </w:r>
      <w:r w:rsidRPr="00B0304D">
        <w:rPr>
          <w:b/>
          <w:sz w:val="24"/>
        </w:rPr>
        <w:t xml:space="preserve">cooperation in civil and commercial matters </w:t>
      </w:r>
      <w:r w:rsidRPr="00B0304D">
        <w:rPr>
          <w:sz w:val="24"/>
        </w:rPr>
        <w:t>there is a need to provide legal certainty and clarity. There is general consensus between both Parties that Union rules on conflict of laws should continue to apply to contracts before the withdrawal date and non-contractual obligations where an event causing damage occurred before the withdrawal date. There was also agreement to provide legal certainty as to the circumstances under which Union law on jurisdiction, recognition and enforcement of judgements will continue to apply, and that judicial cooperation procedures should be finalised</w:t>
      </w:r>
      <w:r w:rsidR="00B8787A" w:rsidRPr="00B0304D">
        <w:rPr>
          <w:sz w:val="24"/>
        </w:rPr>
        <w:fldChar w:fldCharType="begin"/>
      </w:r>
      <w:r w:rsidR="00093AD1" w:rsidRPr="00B0304D">
        <w:instrText xml:space="preserve"> XE "judgements:enforcement of" \r "idxCooperation" </w:instrText>
      </w:r>
      <w:r w:rsidR="00B8787A" w:rsidRPr="00B0304D">
        <w:rPr>
          <w:sz w:val="24"/>
        </w:rPr>
        <w:fldChar w:fldCharType="end"/>
      </w:r>
      <w:r w:rsidR="00B8787A" w:rsidRPr="00B0304D">
        <w:rPr>
          <w:sz w:val="24"/>
        </w:rPr>
        <w:fldChar w:fldCharType="begin"/>
      </w:r>
      <w:r w:rsidR="00093AD1" w:rsidRPr="00B0304D">
        <w:instrText xml:space="preserve"> XE "contractual obligations" \r "idxCooperation" </w:instrText>
      </w:r>
      <w:r w:rsidR="00B8787A" w:rsidRPr="00B0304D">
        <w:rPr>
          <w:sz w:val="24"/>
        </w:rPr>
        <w:fldChar w:fldCharType="end"/>
      </w:r>
      <w:r w:rsidRPr="00B0304D">
        <w:rPr>
          <w:sz w:val="24"/>
        </w:rPr>
        <w:t>.</w:t>
      </w:r>
    </w:p>
    <w:bookmarkEnd w:id="18"/>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837"/>
        </w:tabs>
        <w:ind w:right="116"/>
        <w:jc w:val="both"/>
        <w:rPr>
          <w:sz w:val="24"/>
        </w:rPr>
      </w:pPr>
      <w:bookmarkStart w:id="19" w:name="idxCriminalMatters"/>
      <w:r w:rsidRPr="00B0304D">
        <w:rPr>
          <w:sz w:val="24"/>
        </w:rPr>
        <w:t xml:space="preserve">On </w:t>
      </w:r>
      <w:r w:rsidRPr="00B0304D">
        <w:rPr>
          <w:b/>
          <w:sz w:val="24"/>
        </w:rPr>
        <w:t xml:space="preserve">police and judicial cooperation in criminal matters </w:t>
      </w:r>
      <w:r w:rsidRPr="00B0304D">
        <w:rPr>
          <w:sz w:val="24"/>
        </w:rPr>
        <w:t xml:space="preserve">there is a need to provide legal </w:t>
      </w:r>
      <w:r w:rsidRPr="00B0304D">
        <w:rPr>
          <w:spacing w:val="17"/>
          <w:sz w:val="24"/>
        </w:rPr>
        <w:t xml:space="preserve"> </w:t>
      </w:r>
      <w:r w:rsidRPr="00B0304D">
        <w:rPr>
          <w:sz w:val="24"/>
        </w:rPr>
        <w:t xml:space="preserve">certainty </w:t>
      </w:r>
      <w:r w:rsidRPr="00B0304D">
        <w:rPr>
          <w:spacing w:val="12"/>
          <w:sz w:val="24"/>
        </w:rPr>
        <w:t xml:space="preserve"> </w:t>
      </w:r>
      <w:r w:rsidRPr="00B0304D">
        <w:rPr>
          <w:sz w:val="24"/>
        </w:rPr>
        <w:t xml:space="preserve">and </w:t>
      </w:r>
      <w:r w:rsidRPr="00B0304D">
        <w:rPr>
          <w:spacing w:val="20"/>
          <w:sz w:val="24"/>
        </w:rPr>
        <w:t xml:space="preserve"> </w:t>
      </w:r>
      <w:r w:rsidRPr="00B0304D">
        <w:rPr>
          <w:sz w:val="24"/>
        </w:rPr>
        <w:t xml:space="preserve">clarity. </w:t>
      </w:r>
      <w:r w:rsidRPr="00B0304D">
        <w:rPr>
          <w:spacing w:val="20"/>
          <w:sz w:val="24"/>
        </w:rPr>
        <w:t xml:space="preserve"> </w:t>
      </w:r>
      <w:r w:rsidRPr="00B0304D">
        <w:rPr>
          <w:sz w:val="24"/>
        </w:rPr>
        <w:t xml:space="preserve">Both </w:t>
      </w:r>
      <w:r w:rsidRPr="00B0304D">
        <w:rPr>
          <w:spacing w:val="17"/>
          <w:sz w:val="24"/>
        </w:rPr>
        <w:t xml:space="preserve"> </w:t>
      </w:r>
      <w:r w:rsidRPr="00B0304D">
        <w:rPr>
          <w:sz w:val="24"/>
        </w:rPr>
        <w:t xml:space="preserve">Parties </w:t>
      </w:r>
      <w:r w:rsidRPr="00B0304D">
        <w:rPr>
          <w:spacing w:val="17"/>
          <w:sz w:val="24"/>
        </w:rPr>
        <w:t xml:space="preserve"> </w:t>
      </w:r>
      <w:r w:rsidRPr="00B0304D">
        <w:rPr>
          <w:sz w:val="24"/>
        </w:rPr>
        <w:t xml:space="preserve">broadly </w:t>
      </w:r>
      <w:r w:rsidRPr="00B0304D">
        <w:rPr>
          <w:spacing w:val="12"/>
          <w:sz w:val="24"/>
        </w:rPr>
        <w:t xml:space="preserve"> </w:t>
      </w:r>
      <w:r w:rsidRPr="00B0304D">
        <w:rPr>
          <w:sz w:val="24"/>
        </w:rPr>
        <w:t xml:space="preserve">agree </w:t>
      </w:r>
      <w:r w:rsidRPr="00B0304D">
        <w:rPr>
          <w:spacing w:val="16"/>
          <w:sz w:val="24"/>
        </w:rPr>
        <w:t xml:space="preserve"> </w:t>
      </w:r>
      <w:r w:rsidRPr="00B0304D">
        <w:rPr>
          <w:sz w:val="24"/>
        </w:rPr>
        <w:t xml:space="preserve">on </w:t>
      </w:r>
      <w:r w:rsidRPr="00B0304D">
        <w:rPr>
          <w:spacing w:val="16"/>
          <w:sz w:val="24"/>
        </w:rPr>
        <w:t xml:space="preserve"> </w:t>
      </w:r>
      <w:r w:rsidRPr="00B0304D">
        <w:rPr>
          <w:sz w:val="24"/>
        </w:rPr>
        <w:t xml:space="preserve">the </w:t>
      </w:r>
      <w:r w:rsidRPr="00B0304D">
        <w:rPr>
          <w:spacing w:val="16"/>
          <w:sz w:val="24"/>
        </w:rPr>
        <w:t xml:space="preserve"> </w:t>
      </w:r>
      <w:r w:rsidRPr="00B0304D">
        <w:rPr>
          <w:sz w:val="24"/>
        </w:rPr>
        <w:t xml:space="preserve">principle </w:t>
      </w:r>
      <w:r w:rsidRPr="00B0304D">
        <w:rPr>
          <w:spacing w:val="16"/>
          <w:sz w:val="24"/>
        </w:rPr>
        <w:t xml:space="preserve"> </w:t>
      </w:r>
      <w:r w:rsidRPr="00B0304D">
        <w:rPr>
          <w:sz w:val="24"/>
        </w:rPr>
        <w:t xml:space="preserve">that </w:t>
      </w:r>
      <w:r w:rsidRPr="00B0304D">
        <w:rPr>
          <w:spacing w:val="17"/>
          <w:sz w:val="24"/>
        </w:rPr>
        <w:t xml:space="preserve"> </w:t>
      </w:r>
      <w:r w:rsidRPr="00B0304D">
        <w:rPr>
          <w:sz w:val="24"/>
        </w:rPr>
        <w:t>all</w:t>
      </w:r>
    </w:p>
    <w:p w:rsidR="00AE6D8C" w:rsidRPr="00B0304D" w:rsidRDefault="00AE6D8C">
      <w:pPr>
        <w:jc w:val="both"/>
        <w:rPr>
          <w:sz w:val="24"/>
        </w:rPr>
        <w:sectPr w:rsidR="00AE6D8C" w:rsidRPr="00B0304D">
          <w:pgSz w:w="11910" w:h="16840"/>
          <w:pgMar w:top="1320" w:right="1300" w:bottom="1240" w:left="1300" w:header="0" w:footer="1044" w:gutter="0"/>
          <w:cols w:space="720"/>
        </w:sectPr>
      </w:pPr>
    </w:p>
    <w:p w:rsidR="00AE6D8C" w:rsidRPr="00B0304D" w:rsidRDefault="002E60BA">
      <w:pPr>
        <w:pStyle w:val="BodyText"/>
        <w:spacing w:before="69"/>
        <w:ind w:left="476" w:right="114"/>
        <w:jc w:val="both"/>
      </w:pPr>
      <w:r w:rsidRPr="00B0304D">
        <w:lastRenderedPageBreak/>
        <w:t xml:space="preserve">structured and formalised cooperation procedures ongoing on withdrawal date that </w:t>
      </w:r>
      <w:r w:rsidRPr="00B0304D">
        <w:lastRenderedPageBreak/>
        <w:t>have passed a certain threshold (to be defined) should be completed under Union law.</w:t>
      </w:r>
      <w:r w:rsidR="00B8787A" w:rsidRPr="00B0304D">
        <w:fldChar w:fldCharType="begin"/>
      </w:r>
      <w:r w:rsidR="00093AD1" w:rsidRPr="00B0304D">
        <w:instrText xml:space="preserve"> XE "judicial cooperation" \r "idxCriminalMatters" </w:instrText>
      </w:r>
      <w:r w:rsidR="00B8787A" w:rsidRPr="00B0304D">
        <w:fldChar w:fldCharType="end"/>
      </w:r>
      <w:r w:rsidR="00B8787A" w:rsidRPr="00B0304D">
        <w:fldChar w:fldCharType="begin"/>
      </w:r>
      <w:r w:rsidR="00093AD1" w:rsidRPr="00B0304D">
        <w:instrText xml:space="preserve"> XE "police cooperation" \r "idxCriminalMatters" </w:instrText>
      </w:r>
      <w:r w:rsidR="00B8787A" w:rsidRPr="00B0304D">
        <w:fldChar w:fldCharType="end"/>
      </w:r>
    </w:p>
    <w:bookmarkEnd w:id="19"/>
    <w:p w:rsidR="00AE6D8C" w:rsidRPr="00B0304D" w:rsidRDefault="00AE6D8C">
      <w:pPr>
        <w:pStyle w:val="BodyText"/>
        <w:spacing w:before="11"/>
        <w:rPr>
          <w:sz w:val="23"/>
        </w:rPr>
      </w:pPr>
    </w:p>
    <w:p w:rsidR="00AE6D8C" w:rsidRPr="00B0304D" w:rsidRDefault="002E60BA">
      <w:pPr>
        <w:pStyle w:val="ListParagraph"/>
        <w:numPr>
          <w:ilvl w:val="0"/>
          <w:numId w:val="1"/>
        </w:numPr>
        <w:tabs>
          <w:tab w:val="left" w:pos="477"/>
        </w:tabs>
        <w:ind w:left="476" w:right="112"/>
        <w:jc w:val="both"/>
        <w:rPr>
          <w:sz w:val="24"/>
        </w:rPr>
      </w:pPr>
      <w:bookmarkStart w:id="20" w:name="idxCJEU"/>
      <w:r w:rsidRPr="00B0304D">
        <w:rPr>
          <w:sz w:val="24"/>
        </w:rPr>
        <w:t xml:space="preserve">On </w:t>
      </w:r>
      <w:r w:rsidRPr="00B0304D">
        <w:rPr>
          <w:b/>
          <w:sz w:val="24"/>
        </w:rPr>
        <w:t xml:space="preserve">ongoing Union judicial procedures, </w:t>
      </w:r>
      <w:r w:rsidRPr="00B0304D">
        <w:rPr>
          <w:sz w:val="24"/>
        </w:rPr>
        <w:t>both Parties have agreed that the CJEU should remain competent for UK judicial procedures registered at the CJEU on the date of withdrawal, and that those procedures should continue through to a binding judgment.</w:t>
      </w:r>
      <w:r w:rsidR="00B8787A" w:rsidRPr="00B0304D">
        <w:rPr>
          <w:sz w:val="24"/>
        </w:rPr>
        <w:fldChar w:fldCharType="begin"/>
      </w:r>
      <w:r w:rsidR="00093AD1" w:rsidRPr="00B0304D">
        <w:instrText xml:space="preserve"> XE "Court of Justice of the European Union</w:instrText>
      </w:r>
      <w:r w:rsidR="00B93B25" w:rsidRPr="00B0304D">
        <w:instrText xml:space="preserve"> (CJEU)</w:instrText>
      </w:r>
      <w:r w:rsidR="00093AD1" w:rsidRPr="00B0304D">
        <w:instrText xml:space="preserve">" \r "idxCJEU" </w:instrText>
      </w:r>
      <w:r w:rsidR="00B8787A" w:rsidRPr="00B0304D">
        <w:rPr>
          <w:sz w:val="24"/>
        </w:rPr>
        <w:fldChar w:fldCharType="end"/>
      </w:r>
    </w:p>
    <w:bookmarkEnd w:id="20"/>
    <w:p w:rsidR="00AE6D8C" w:rsidRPr="00B0304D" w:rsidRDefault="00AE6D8C">
      <w:pPr>
        <w:pStyle w:val="BodyText"/>
      </w:pPr>
    </w:p>
    <w:p w:rsidR="00AE6D8C" w:rsidRPr="00B0304D" w:rsidRDefault="002E60BA">
      <w:pPr>
        <w:pStyle w:val="ListParagraph"/>
        <w:numPr>
          <w:ilvl w:val="0"/>
          <w:numId w:val="1"/>
        </w:numPr>
        <w:tabs>
          <w:tab w:val="left" w:pos="477"/>
        </w:tabs>
        <w:ind w:left="476"/>
        <w:jc w:val="both"/>
        <w:rPr>
          <w:sz w:val="24"/>
        </w:rPr>
      </w:pPr>
      <w:bookmarkStart w:id="21" w:name="idxAdministration"/>
      <w:r w:rsidRPr="00B0304D">
        <w:rPr>
          <w:sz w:val="24"/>
        </w:rPr>
        <w:t xml:space="preserve">On </w:t>
      </w:r>
      <w:r w:rsidRPr="00B0304D">
        <w:rPr>
          <w:b/>
          <w:sz w:val="24"/>
        </w:rPr>
        <w:t xml:space="preserve">ongoing Union administrative proceedings </w:t>
      </w:r>
      <w:r w:rsidRPr="00B0304D">
        <w:rPr>
          <w:sz w:val="24"/>
        </w:rPr>
        <w:t xml:space="preserve">both Parties have deepened their </w:t>
      </w:r>
      <w:r w:rsidR="00B8787A" w:rsidRPr="00B0304D">
        <w:rPr>
          <w:sz w:val="24"/>
        </w:rPr>
        <w:fldChar w:fldCharType="begin"/>
      </w:r>
      <w:r w:rsidR="00093AD1" w:rsidRPr="00B0304D">
        <w:instrText xml:space="preserve"> XE "Community Plant Variety Office" \r "idxAdministration" </w:instrText>
      </w:r>
      <w:r w:rsidR="00B8787A" w:rsidRPr="00B0304D">
        <w:rPr>
          <w:sz w:val="24"/>
        </w:rPr>
        <w:fldChar w:fldCharType="end"/>
      </w:r>
      <w:r w:rsidR="00B8787A" w:rsidRPr="00B0304D">
        <w:rPr>
          <w:sz w:val="24"/>
        </w:rPr>
        <w:fldChar w:fldCharType="begin"/>
      </w:r>
      <w:r w:rsidR="00093AD1" w:rsidRPr="00B0304D">
        <w:instrText xml:space="preserve"> XE "state aid" \r "idxAdministration" </w:instrText>
      </w:r>
      <w:r w:rsidR="00B8787A" w:rsidRPr="00B0304D">
        <w:rPr>
          <w:sz w:val="24"/>
        </w:rPr>
        <w:fldChar w:fldCharType="end"/>
      </w:r>
      <w:r w:rsidR="00B8787A" w:rsidRPr="00B0304D">
        <w:rPr>
          <w:sz w:val="24"/>
        </w:rPr>
        <w:fldChar w:fldCharType="begin"/>
      </w:r>
      <w:r w:rsidR="00093AD1" w:rsidRPr="00B0304D">
        <w:instrText xml:space="preserve"> XE "competition" \r "idxAdministration" </w:instrText>
      </w:r>
      <w:r w:rsidR="00B8787A" w:rsidRPr="00B0304D">
        <w:rPr>
          <w:sz w:val="24"/>
        </w:rPr>
        <w:fldChar w:fldCharType="end"/>
      </w:r>
      <w:r w:rsidRPr="00B0304D">
        <w:rPr>
          <w:sz w:val="24"/>
        </w:rPr>
        <w:t>understanding of the respective positions, and explored some areas, such as competition, state aid and examinations of the Community Plant Variety</w:t>
      </w:r>
      <w:r w:rsidRPr="00B0304D">
        <w:rPr>
          <w:spacing w:val="-19"/>
          <w:sz w:val="24"/>
        </w:rPr>
        <w:t xml:space="preserve"> </w:t>
      </w:r>
      <w:r w:rsidRPr="00B0304D">
        <w:rPr>
          <w:sz w:val="24"/>
        </w:rPr>
        <w:t>Office.</w:t>
      </w:r>
    </w:p>
    <w:bookmarkEnd w:id="21"/>
    <w:p w:rsidR="00AE6D8C" w:rsidRPr="00B0304D" w:rsidRDefault="00AE6D8C">
      <w:pPr>
        <w:pStyle w:val="BodyText"/>
      </w:pPr>
    </w:p>
    <w:p w:rsidR="00AE6D8C" w:rsidRPr="00B0304D" w:rsidRDefault="002E60BA">
      <w:pPr>
        <w:pStyle w:val="ListParagraph"/>
        <w:numPr>
          <w:ilvl w:val="0"/>
          <w:numId w:val="1"/>
        </w:numPr>
        <w:tabs>
          <w:tab w:val="left" w:pos="477"/>
        </w:tabs>
        <w:ind w:left="476"/>
        <w:jc w:val="both"/>
        <w:rPr>
          <w:sz w:val="24"/>
        </w:rPr>
      </w:pPr>
      <w:bookmarkStart w:id="22" w:name="idxInstitutions"/>
      <w:r w:rsidRPr="00B0304D">
        <w:rPr>
          <w:sz w:val="24"/>
        </w:rPr>
        <w:t xml:space="preserve">On </w:t>
      </w:r>
      <w:r w:rsidRPr="00B0304D">
        <w:rPr>
          <w:b/>
          <w:sz w:val="24"/>
        </w:rPr>
        <w:t xml:space="preserve">issues relating to the functioning of the Union institutions, agencies and bodies, </w:t>
      </w:r>
      <w:r w:rsidRPr="00B0304D">
        <w:rPr>
          <w:sz w:val="24"/>
        </w:rPr>
        <w:t>both Parties agree that an arrangement which closely mirrors Union privileges and immunities should remain applicable to activities that took place before withdrawal and as regards new activities foreseen in the Withdrawal Agreement; that both sides continue to ensure compliance with obligations of professional secrecy; and that classified information and other documents obtained by both sides whilst the UK was a Member State retain the same level of protection as before</w:t>
      </w:r>
      <w:r w:rsidRPr="00B0304D">
        <w:rPr>
          <w:spacing w:val="-16"/>
          <w:sz w:val="24"/>
        </w:rPr>
        <w:t xml:space="preserve"> </w:t>
      </w:r>
      <w:r w:rsidRPr="00B0304D">
        <w:rPr>
          <w:sz w:val="24"/>
        </w:rPr>
        <w:t>withdrawal.</w:t>
      </w:r>
      <w:r w:rsidR="00B8787A" w:rsidRPr="00B0304D">
        <w:rPr>
          <w:sz w:val="24"/>
        </w:rPr>
        <w:fldChar w:fldCharType="begin"/>
      </w:r>
      <w:r w:rsidR="00250C5A" w:rsidRPr="00B0304D">
        <w:instrText xml:space="preserve"> XE "classified information" \r "idxInstitutions" </w:instrText>
      </w:r>
      <w:r w:rsidR="00B8787A" w:rsidRPr="00B0304D">
        <w:rPr>
          <w:sz w:val="24"/>
        </w:rPr>
        <w:fldChar w:fldCharType="end"/>
      </w:r>
      <w:r w:rsidR="00B8787A" w:rsidRPr="00B0304D">
        <w:rPr>
          <w:sz w:val="24"/>
        </w:rPr>
        <w:fldChar w:fldCharType="begin"/>
      </w:r>
      <w:r w:rsidR="00250C5A" w:rsidRPr="00B0304D">
        <w:instrText xml:space="preserve"> XE "professional secrecy" \r "idxInstitutions" </w:instrText>
      </w:r>
      <w:r w:rsidR="00B8787A" w:rsidRPr="00B0304D">
        <w:rPr>
          <w:sz w:val="24"/>
        </w:rPr>
        <w:fldChar w:fldCharType="end"/>
      </w:r>
    </w:p>
    <w:p w:rsidR="00AE6D8C" w:rsidRPr="00B0304D" w:rsidRDefault="00AE6D8C">
      <w:pPr>
        <w:pStyle w:val="BodyText"/>
      </w:pPr>
      <w:bookmarkStart w:id="23" w:name="ixeGetLocatorInfo"/>
      <w:bookmarkEnd w:id="22"/>
      <w:bookmarkEnd w:id="23"/>
    </w:p>
    <w:p w:rsidR="00AE6D8C" w:rsidRPr="00B0304D" w:rsidRDefault="002E60BA">
      <w:pPr>
        <w:pStyle w:val="BodyText"/>
        <w:ind w:left="4454" w:right="4095"/>
        <w:jc w:val="center"/>
      </w:pPr>
      <w:r w:rsidRPr="00B0304D">
        <w:t>***</w:t>
      </w:r>
    </w:p>
    <w:p w:rsidR="00AE6D8C" w:rsidRPr="00B0304D" w:rsidRDefault="00AE6D8C">
      <w:pPr>
        <w:pStyle w:val="BodyText"/>
      </w:pPr>
    </w:p>
    <w:p w:rsidR="00AE6D8C" w:rsidRPr="00B0304D" w:rsidRDefault="002E60BA">
      <w:pPr>
        <w:pStyle w:val="ListParagraph"/>
        <w:numPr>
          <w:ilvl w:val="0"/>
          <w:numId w:val="1"/>
        </w:numPr>
        <w:tabs>
          <w:tab w:val="left" w:pos="477"/>
        </w:tabs>
        <w:ind w:left="476" w:right="0"/>
        <w:jc w:val="left"/>
        <w:rPr>
          <w:sz w:val="24"/>
        </w:rPr>
      </w:pPr>
      <w:r w:rsidRPr="00B0304D">
        <w:rPr>
          <w:sz w:val="24"/>
        </w:rPr>
        <w:t>This report is put forward with a view to the meeting of the European Council</w:t>
      </w:r>
      <w:r w:rsidRPr="00B0304D">
        <w:rPr>
          <w:spacing w:val="38"/>
          <w:sz w:val="24"/>
        </w:rPr>
        <w:t xml:space="preserve"> </w:t>
      </w:r>
      <w:r w:rsidRPr="00B0304D">
        <w:rPr>
          <w:sz w:val="24"/>
        </w:rPr>
        <w:t>(Article</w:t>
      </w:r>
    </w:p>
    <w:p w:rsidR="00F91B68" w:rsidRPr="00B0304D" w:rsidRDefault="002E60BA">
      <w:pPr>
        <w:pStyle w:val="BodyText"/>
        <w:ind w:left="476" w:right="119"/>
        <w:jc w:val="both"/>
      </w:pPr>
      <w:r w:rsidRPr="00B0304D">
        <w:t>50) of 14 and 15 December 2017. It is also agreed by the UK on the condition of an overall agreement under Article 50 on the UK's withdrawal, taking into account the framework for the future relationship, including an agreement as early as possible in 2018 on transitional arrangements.</w:t>
      </w:r>
    </w:p>
    <w:p w:rsidR="00C30A24" w:rsidRDefault="00F91B68" w:rsidP="00C30A24">
      <w:pPr>
        <w:rPr>
          <w:noProof/>
        </w:rPr>
      </w:pPr>
      <w:r w:rsidRPr="00B0304D">
        <w:br w:type="page"/>
      </w:r>
      <w:r w:rsidR="00C30A24">
        <w:fldChar w:fldCharType="begin"/>
      </w:r>
      <w:r w:rsidR="00C30A24">
        <w:instrText xml:space="preserve"> INDEX \c "2" \z "2057"  \h "A" </w:instrText>
      </w:r>
      <w:r w:rsidR="00C30A24">
        <w:fldChar w:fldCharType="separate"/>
      </w:r>
    </w:p>
    <w:p w:rsidR="00C30A24" w:rsidRDefault="00C30A24" w:rsidP="00C30A24">
      <w:pPr>
        <w:rPr>
          <w:noProof/>
        </w:rPr>
        <w:sectPr w:rsidR="00C30A24" w:rsidSect="00C30A24">
          <w:type w:val="continuous"/>
          <w:pgSz w:w="11910" w:h="16840"/>
          <w:pgMar w:top="1320" w:right="1300" w:bottom="1240" w:left="1660" w:header="0" w:footer="1044" w:gutter="0"/>
          <w:cols w:space="720"/>
        </w:sectPr>
      </w:pP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lastRenderedPageBreak/>
        <w:t>A</w:t>
      </w:r>
    </w:p>
    <w:p w:rsidR="00C30A24" w:rsidRDefault="00C30A24">
      <w:pPr>
        <w:pStyle w:val="Index1"/>
        <w:tabs>
          <w:tab w:val="right" w:leader="dot" w:pos="4105"/>
        </w:tabs>
        <w:rPr>
          <w:noProof/>
        </w:rPr>
      </w:pPr>
      <w:r>
        <w:rPr>
          <w:noProof/>
        </w:rPr>
        <w:t>availability of goods, 14</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C</w:t>
      </w:r>
    </w:p>
    <w:p w:rsidR="00C30A24" w:rsidRDefault="00C30A24">
      <w:pPr>
        <w:pStyle w:val="Index1"/>
        <w:tabs>
          <w:tab w:val="right" w:leader="dot" w:pos="4105"/>
        </w:tabs>
        <w:rPr>
          <w:noProof/>
        </w:rPr>
      </w:pPr>
      <w:r>
        <w:rPr>
          <w:noProof/>
        </w:rPr>
        <w:t>citizens’ rights, 1–7</w:t>
      </w:r>
    </w:p>
    <w:p w:rsidR="00C30A24" w:rsidRDefault="00C30A24">
      <w:pPr>
        <w:pStyle w:val="Index2"/>
        <w:tabs>
          <w:tab w:val="right" w:leader="dot" w:pos="4105"/>
        </w:tabs>
        <w:rPr>
          <w:noProof/>
        </w:rPr>
      </w:pPr>
      <w:r>
        <w:rPr>
          <w:noProof/>
        </w:rPr>
        <w:t>absence from territory, 4</w:t>
      </w:r>
    </w:p>
    <w:p w:rsidR="00C30A24" w:rsidRDefault="00C30A24">
      <w:pPr>
        <w:pStyle w:val="Index2"/>
        <w:tabs>
          <w:tab w:val="right" w:leader="dot" w:pos="4105"/>
        </w:tabs>
        <w:rPr>
          <w:noProof/>
        </w:rPr>
      </w:pPr>
      <w:r>
        <w:rPr>
          <w:noProof/>
        </w:rPr>
        <w:t>application forms, 3</w:t>
      </w:r>
    </w:p>
    <w:p w:rsidR="00C30A24" w:rsidRDefault="00C30A24">
      <w:pPr>
        <w:pStyle w:val="Index2"/>
        <w:tabs>
          <w:tab w:val="right" w:leader="dot" w:pos="4105"/>
        </w:tabs>
        <w:rPr>
          <w:noProof/>
        </w:rPr>
      </w:pPr>
      <w:r>
        <w:rPr>
          <w:noProof/>
        </w:rPr>
        <w:t>auditors, 5</w:t>
      </w:r>
    </w:p>
    <w:p w:rsidR="00C30A24" w:rsidRDefault="00C30A24">
      <w:pPr>
        <w:pStyle w:val="Index2"/>
        <w:tabs>
          <w:tab w:val="right" w:leader="dot" w:pos="4105"/>
        </w:tabs>
        <w:rPr>
          <w:noProof/>
        </w:rPr>
      </w:pPr>
      <w:r>
        <w:rPr>
          <w:noProof/>
        </w:rPr>
        <w:t>children, 2</w:t>
      </w:r>
    </w:p>
    <w:p w:rsidR="00C30A24" w:rsidRDefault="00C30A24">
      <w:pPr>
        <w:pStyle w:val="Index2"/>
        <w:tabs>
          <w:tab w:val="right" w:leader="dot" w:pos="4105"/>
        </w:tabs>
        <w:rPr>
          <w:noProof/>
        </w:rPr>
      </w:pPr>
      <w:r>
        <w:rPr>
          <w:noProof/>
        </w:rPr>
        <w:t>consistent interpretation, 6</w:t>
      </w:r>
    </w:p>
    <w:p w:rsidR="00C30A24" w:rsidRDefault="00C30A24">
      <w:pPr>
        <w:pStyle w:val="Index2"/>
        <w:tabs>
          <w:tab w:val="right" w:leader="dot" w:pos="4105"/>
        </w:tabs>
        <w:rPr>
          <w:noProof/>
        </w:rPr>
      </w:pPr>
      <w:r>
        <w:rPr>
          <w:noProof/>
        </w:rPr>
        <w:t>criminality and security checks, 4</w:t>
      </w:r>
    </w:p>
    <w:p w:rsidR="00C30A24" w:rsidRDefault="00C30A24">
      <w:pPr>
        <w:pStyle w:val="Index2"/>
        <w:tabs>
          <w:tab w:val="right" w:leader="dot" w:pos="4105"/>
        </w:tabs>
        <w:rPr>
          <w:noProof/>
        </w:rPr>
      </w:pPr>
      <w:r>
        <w:rPr>
          <w:noProof/>
        </w:rPr>
        <w:t>discretion, 4</w:t>
      </w:r>
    </w:p>
    <w:p w:rsidR="00C30A24" w:rsidRDefault="00C30A24">
      <w:pPr>
        <w:pStyle w:val="Index2"/>
        <w:tabs>
          <w:tab w:val="right" w:leader="dot" w:pos="4105"/>
        </w:tabs>
        <w:rPr>
          <w:noProof/>
        </w:rPr>
      </w:pPr>
      <w:r>
        <w:rPr>
          <w:noProof/>
        </w:rPr>
        <w:t>discrimination, 2</w:t>
      </w:r>
    </w:p>
    <w:p w:rsidR="00C30A24" w:rsidRDefault="00C30A24">
      <w:pPr>
        <w:pStyle w:val="Index2"/>
        <w:tabs>
          <w:tab w:val="right" w:leader="dot" w:pos="4105"/>
        </w:tabs>
        <w:rPr>
          <w:noProof/>
        </w:rPr>
      </w:pPr>
      <w:r>
        <w:rPr>
          <w:noProof/>
        </w:rPr>
        <w:t>economically inactive citizens, 5</w:t>
      </w:r>
    </w:p>
    <w:p w:rsidR="00C30A24" w:rsidRDefault="00C30A24">
      <w:pPr>
        <w:pStyle w:val="Index2"/>
        <w:tabs>
          <w:tab w:val="right" w:leader="dot" w:pos="4105"/>
        </w:tabs>
        <w:rPr>
          <w:noProof/>
        </w:rPr>
      </w:pPr>
      <w:r>
        <w:rPr>
          <w:noProof/>
        </w:rPr>
        <w:t>equal treatment, 5</w:t>
      </w:r>
    </w:p>
    <w:p w:rsidR="00C30A24" w:rsidRDefault="00C30A24">
      <w:pPr>
        <w:pStyle w:val="Index2"/>
        <w:tabs>
          <w:tab w:val="right" w:leader="dot" w:pos="4105"/>
        </w:tabs>
        <w:rPr>
          <w:noProof/>
        </w:rPr>
      </w:pPr>
      <w:r>
        <w:rPr>
          <w:noProof/>
        </w:rPr>
        <w:t>EU citizens living in the UK, 5</w:t>
      </w:r>
    </w:p>
    <w:p w:rsidR="00C30A24" w:rsidRDefault="00C30A24">
      <w:pPr>
        <w:pStyle w:val="Index2"/>
        <w:tabs>
          <w:tab w:val="right" w:leader="dot" w:pos="4105"/>
        </w:tabs>
        <w:rPr>
          <w:noProof/>
        </w:rPr>
      </w:pPr>
      <w:r>
        <w:rPr>
          <w:noProof/>
        </w:rPr>
        <w:t>European Health Insurance Card (EHIC) scheme, 5</w:t>
      </w:r>
    </w:p>
    <w:p w:rsidR="00C30A24" w:rsidRDefault="00C30A24">
      <w:pPr>
        <w:pStyle w:val="Index2"/>
        <w:tabs>
          <w:tab w:val="right" w:leader="dot" w:pos="4105"/>
        </w:tabs>
        <w:rPr>
          <w:noProof/>
        </w:rPr>
      </w:pPr>
      <w:r>
        <w:rPr>
          <w:noProof/>
        </w:rPr>
        <w:t>evidential flexibility, 3</w:t>
      </w:r>
    </w:p>
    <w:p w:rsidR="00C30A24" w:rsidRDefault="00C30A24">
      <w:pPr>
        <w:pStyle w:val="Index2"/>
        <w:tabs>
          <w:tab w:val="right" w:leader="dot" w:pos="4105"/>
        </w:tabs>
        <w:rPr>
          <w:noProof/>
        </w:rPr>
      </w:pPr>
      <w:r>
        <w:rPr>
          <w:noProof/>
        </w:rPr>
        <w:t>family members, 2</w:t>
      </w:r>
    </w:p>
    <w:p w:rsidR="00C30A24" w:rsidRDefault="00C30A24">
      <w:pPr>
        <w:pStyle w:val="Index2"/>
        <w:tabs>
          <w:tab w:val="right" w:leader="dot" w:pos="4105"/>
        </w:tabs>
        <w:rPr>
          <w:noProof/>
        </w:rPr>
      </w:pPr>
      <w:r>
        <w:rPr>
          <w:noProof/>
        </w:rPr>
        <w:t>fraudulent or abusive applications, 3</w:t>
      </w:r>
    </w:p>
    <w:p w:rsidR="00C30A24" w:rsidRDefault="00C30A24">
      <w:pPr>
        <w:pStyle w:val="Index2"/>
        <w:tabs>
          <w:tab w:val="right" w:leader="dot" w:pos="4105"/>
        </w:tabs>
        <w:rPr>
          <w:noProof/>
        </w:rPr>
      </w:pPr>
      <w:r>
        <w:rPr>
          <w:noProof/>
        </w:rPr>
        <w:t>healthcare, 5</w:t>
      </w:r>
    </w:p>
    <w:p w:rsidR="00C30A24" w:rsidRDefault="00C30A24">
      <w:pPr>
        <w:pStyle w:val="Index2"/>
        <w:tabs>
          <w:tab w:val="right" w:leader="dot" w:pos="4105"/>
        </w:tabs>
        <w:rPr>
          <w:noProof/>
        </w:rPr>
      </w:pPr>
      <w:r>
        <w:rPr>
          <w:noProof/>
        </w:rPr>
        <w:t>incompatible rules, 5</w:t>
      </w:r>
    </w:p>
    <w:p w:rsidR="00C30A24" w:rsidRDefault="00C30A24">
      <w:pPr>
        <w:pStyle w:val="Index2"/>
        <w:tabs>
          <w:tab w:val="right" w:leader="dot" w:pos="4105"/>
        </w:tabs>
        <w:rPr>
          <w:noProof/>
        </w:rPr>
      </w:pPr>
      <w:r>
        <w:rPr>
          <w:noProof/>
        </w:rPr>
        <w:t>inconsistent rules, 5</w:t>
      </w:r>
    </w:p>
    <w:p w:rsidR="00C30A24" w:rsidRDefault="00C30A24">
      <w:pPr>
        <w:pStyle w:val="Index2"/>
        <w:tabs>
          <w:tab w:val="right" w:leader="dot" w:pos="4105"/>
        </w:tabs>
        <w:rPr>
          <w:noProof/>
        </w:rPr>
      </w:pPr>
      <w:r>
        <w:rPr>
          <w:noProof/>
        </w:rPr>
        <w:t>lawyers, 5</w:t>
      </w:r>
    </w:p>
    <w:p w:rsidR="00C30A24" w:rsidRDefault="00C30A24">
      <w:pPr>
        <w:pStyle w:val="Index2"/>
        <w:tabs>
          <w:tab w:val="right" w:leader="dot" w:pos="4105"/>
        </w:tabs>
        <w:rPr>
          <w:noProof/>
        </w:rPr>
      </w:pPr>
      <w:r>
        <w:rPr>
          <w:noProof/>
        </w:rPr>
        <w:t>national provisions, 4</w:t>
      </w:r>
    </w:p>
    <w:p w:rsidR="00C30A24" w:rsidRDefault="00C30A24">
      <w:pPr>
        <w:pStyle w:val="Index2"/>
        <w:tabs>
          <w:tab w:val="right" w:leader="dot" w:pos="4105"/>
        </w:tabs>
        <w:rPr>
          <w:noProof/>
        </w:rPr>
      </w:pPr>
      <w:r>
        <w:rPr>
          <w:noProof/>
        </w:rPr>
        <w:t>parents, 2</w:t>
      </w:r>
    </w:p>
    <w:p w:rsidR="00C30A24" w:rsidRDefault="00C30A24">
      <w:pPr>
        <w:pStyle w:val="Index2"/>
        <w:tabs>
          <w:tab w:val="right" w:leader="dot" w:pos="4105"/>
        </w:tabs>
        <w:rPr>
          <w:noProof/>
        </w:rPr>
      </w:pPr>
      <w:r>
        <w:rPr>
          <w:noProof/>
        </w:rPr>
        <w:t>partners, 2</w:t>
      </w:r>
    </w:p>
    <w:p w:rsidR="00C30A24" w:rsidRDefault="00C30A24">
      <w:pPr>
        <w:pStyle w:val="Index2"/>
        <w:tabs>
          <w:tab w:val="right" w:leader="dot" w:pos="4105"/>
        </w:tabs>
        <w:rPr>
          <w:noProof/>
        </w:rPr>
      </w:pPr>
      <w:r>
        <w:rPr>
          <w:noProof/>
        </w:rPr>
        <w:t>rejection, 3</w:t>
      </w:r>
    </w:p>
    <w:p w:rsidR="00C30A24" w:rsidRDefault="00C30A24">
      <w:pPr>
        <w:pStyle w:val="Index2"/>
        <w:tabs>
          <w:tab w:val="right" w:leader="dot" w:pos="4105"/>
        </w:tabs>
        <w:rPr>
          <w:noProof/>
        </w:rPr>
      </w:pPr>
      <w:r>
        <w:rPr>
          <w:noProof/>
        </w:rPr>
        <w:t>residence, 4</w:t>
      </w:r>
    </w:p>
    <w:p w:rsidR="00C30A24" w:rsidRDefault="00C30A24">
      <w:pPr>
        <w:pStyle w:val="Index2"/>
        <w:tabs>
          <w:tab w:val="right" w:leader="dot" w:pos="4105"/>
        </w:tabs>
        <w:rPr>
          <w:noProof/>
        </w:rPr>
      </w:pPr>
      <w:r>
        <w:rPr>
          <w:noProof/>
        </w:rPr>
        <w:t>residence document, 3, 4</w:t>
      </w:r>
    </w:p>
    <w:p w:rsidR="00C30A24" w:rsidRDefault="00C30A24">
      <w:pPr>
        <w:pStyle w:val="Index2"/>
        <w:tabs>
          <w:tab w:val="right" w:leader="dot" w:pos="4105"/>
        </w:tabs>
        <w:rPr>
          <w:noProof/>
        </w:rPr>
      </w:pPr>
      <w:r>
        <w:rPr>
          <w:noProof/>
        </w:rPr>
        <w:t>restrictions</w:t>
      </w:r>
    </w:p>
    <w:p w:rsidR="00C30A24" w:rsidRDefault="00C30A24">
      <w:pPr>
        <w:pStyle w:val="Index3"/>
        <w:tabs>
          <w:tab w:val="right" w:leader="dot" w:pos="4105"/>
        </w:tabs>
        <w:rPr>
          <w:noProof/>
        </w:rPr>
      </w:pPr>
      <w:r>
        <w:rPr>
          <w:noProof/>
        </w:rPr>
        <w:t>public policy, 4</w:t>
      </w:r>
    </w:p>
    <w:p w:rsidR="00C30A24" w:rsidRDefault="00C30A24">
      <w:pPr>
        <w:pStyle w:val="Index3"/>
        <w:tabs>
          <w:tab w:val="right" w:leader="dot" w:pos="4105"/>
        </w:tabs>
        <w:rPr>
          <w:noProof/>
        </w:rPr>
      </w:pPr>
      <w:r>
        <w:rPr>
          <w:noProof/>
        </w:rPr>
        <w:t>security, 4</w:t>
      </w:r>
    </w:p>
    <w:p w:rsidR="00C30A24" w:rsidRDefault="00C30A24">
      <w:pPr>
        <w:pStyle w:val="Index2"/>
        <w:tabs>
          <w:tab w:val="right" w:leader="dot" w:pos="4105"/>
        </w:tabs>
        <w:rPr>
          <w:noProof/>
        </w:rPr>
      </w:pPr>
      <w:r>
        <w:rPr>
          <w:noProof/>
        </w:rPr>
        <w:t>safeguards, 4</w:t>
      </w:r>
    </w:p>
    <w:p w:rsidR="00C30A24" w:rsidRDefault="00C30A24">
      <w:pPr>
        <w:pStyle w:val="Index2"/>
        <w:tabs>
          <w:tab w:val="right" w:leader="dot" w:pos="4105"/>
        </w:tabs>
        <w:rPr>
          <w:noProof/>
        </w:rPr>
      </w:pPr>
      <w:r>
        <w:rPr>
          <w:noProof/>
        </w:rPr>
        <w:t>self-employed, 5</w:t>
      </w:r>
    </w:p>
    <w:p w:rsidR="00C30A24" w:rsidRDefault="00C30A24">
      <w:pPr>
        <w:pStyle w:val="Index2"/>
        <w:tabs>
          <w:tab w:val="right" w:leader="dot" w:pos="4105"/>
        </w:tabs>
        <w:rPr>
          <w:noProof/>
        </w:rPr>
      </w:pPr>
      <w:r>
        <w:rPr>
          <w:noProof/>
        </w:rPr>
        <w:t>social security</w:t>
      </w:r>
    </w:p>
    <w:p w:rsidR="00C30A24" w:rsidRDefault="00C30A24">
      <w:pPr>
        <w:pStyle w:val="Index3"/>
        <w:tabs>
          <w:tab w:val="right" w:leader="dot" w:pos="4105"/>
        </w:tabs>
        <w:rPr>
          <w:noProof/>
        </w:rPr>
      </w:pPr>
      <w:r>
        <w:rPr>
          <w:noProof/>
        </w:rPr>
        <w:t>coordination rules, 4</w:t>
      </w:r>
    </w:p>
    <w:p w:rsidR="00C30A24" w:rsidRDefault="00C30A24">
      <w:pPr>
        <w:pStyle w:val="Index3"/>
        <w:tabs>
          <w:tab w:val="right" w:leader="dot" w:pos="4105"/>
        </w:tabs>
        <w:rPr>
          <w:noProof/>
        </w:rPr>
      </w:pPr>
      <w:r>
        <w:rPr>
          <w:noProof/>
        </w:rPr>
        <w:t>insurance, 5</w:t>
      </w:r>
    </w:p>
    <w:p w:rsidR="00C30A24" w:rsidRDefault="00C30A24">
      <w:pPr>
        <w:pStyle w:val="Index2"/>
        <w:tabs>
          <w:tab w:val="right" w:leader="dot" w:pos="4105"/>
        </w:tabs>
        <w:rPr>
          <w:noProof/>
        </w:rPr>
      </w:pPr>
      <w:r>
        <w:rPr>
          <w:noProof/>
        </w:rPr>
        <w:t>students, 5</w:t>
      </w:r>
    </w:p>
    <w:p w:rsidR="00C30A24" w:rsidRDefault="00C30A24">
      <w:pPr>
        <w:pStyle w:val="Index2"/>
        <w:tabs>
          <w:tab w:val="right" w:leader="dot" w:pos="4105"/>
        </w:tabs>
        <w:rPr>
          <w:noProof/>
        </w:rPr>
      </w:pPr>
      <w:r>
        <w:rPr>
          <w:noProof/>
        </w:rPr>
        <w:t>UK citizens living in the EU, 5</w:t>
      </w:r>
    </w:p>
    <w:p w:rsidR="00C30A24" w:rsidRDefault="00C30A24">
      <w:pPr>
        <w:pStyle w:val="Index2"/>
        <w:tabs>
          <w:tab w:val="right" w:leader="dot" w:pos="4105"/>
        </w:tabs>
        <w:rPr>
          <w:noProof/>
        </w:rPr>
      </w:pPr>
      <w:r>
        <w:rPr>
          <w:noProof/>
        </w:rPr>
        <w:t>workers, 5</w:t>
      </w:r>
    </w:p>
    <w:p w:rsidR="00C30A24" w:rsidRDefault="00C30A24">
      <w:pPr>
        <w:pStyle w:val="Index1"/>
        <w:tabs>
          <w:tab w:val="right" w:leader="dot" w:pos="4105"/>
        </w:tabs>
        <w:rPr>
          <w:noProof/>
        </w:rPr>
      </w:pPr>
      <w:r>
        <w:rPr>
          <w:noProof/>
        </w:rPr>
        <w:t>classified information, 15</w:t>
      </w:r>
    </w:p>
    <w:p w:rsidR="00C30A24" w:rsidRDefault="00C30A24">
      <w:pPr>
        <w:pStyle w:val="Index1"/>
        <w:tabs>
          <w:tab w:val="right" w:leader="dot" w:pos="4105"/>
        </w:tabs>
        <w:rPr>
          <w:noProof/>
        </w:rPr>
      </w:pPr>
      <w:r>
        <w:rPr>
          <w:noProof/>
        </w:rPr>
        <w:t>Community Plant Variety Office, 15</w:t>
      </w:r>
    </w:p>
    <w:p w:rsidR="00C30A24" w:rsidRDefault="00C30A24">
      <w:pPr>
        <w:pStyle w:val="Index1"/>
        <w:tabs>
          <w:tab w:val="right" w:leader="dot" w:pos="4105"/>
        </w:tabs>
        <w:rPr>
          <w:noProof/>
        </w:rPr>
      </w:pPr>
      <w:r>
        <w:rPr>
          <w:noProof/>
        </w:rPr>
        <w:t>competition, 15</w:t>
      </w:r>
    </w:p>
    <w:p w:rsidR="00C30A24" w:rsidRDefault="00C30A24">
      <w:pPr>
        <w:pStyle w:val="Index1"/>
        <w:tabs>
          <w:tab w:val="right" w:leader="dot" w:pos="4105"/>
        </w:tabs>
        <w:rPr>
          <w:noProof/>
        </w:rPr>
      </w:pPr>
      <w:r>
        <w:rPr>
          <w:noProof/>
        </w:rPr>
        <w:t>contractual obligations, 14</w:t>
      </w:r>
    </w:p>
    <w:p w:rsidR="00C30A24" w:rsidRDefault="00C30A24">
      <w:pPr>
        <w:pStyle w:val="Index1"/>
        <w:tabs>
          <w:tab w:val="right" w:leader="dot" w:pos="4105"/>
        </w:tabs>
        <w:rPr>
          <w:noProof/>
        </w:rPr>
      </w:pPr>
      <w:r>
        <w:rPr>
          <w:noProof/>
        </w:rPr>
        <w:t>Court of Justice of the European Union (CJEU), 2, 15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D</w:t>
      </w:r>
    </w:p>
    <w:p w:rsidR="00C30A24" w:rsidRDefault="00C30A24">
      <w:pPr>
        <w:pStyle w:val="Index1"/>
        <w:tabs>
          <w:tab w:val="right" w:leader="dot" w:pos="4105"/>
        </w:tabs>
        <w:rPr>
          <w:noProof/>
        </w:rPr>
      </w:pPr>
      <w:r>
        <w:rPr>
          <w:noProof/>
        </w:rPr>
        <w:t>Directive</w:t>
      </w:r>
      <w:r w:rsidRPr="00112ACE">
        <w:rPr>
          <w:noProof/>
          <w:spacing w:val="-5"/>
        </w:rPr>
        <w:t xml:space="preserve"> </w:t>
      </w:r>
      <w:r>
        <w:rPr>
          <w:noProof/>
        </w:rPr>
        <w:t>2004/38, 3</w:t>
      </w:r>
    </w:p>
    <w:p w:rsidR="00C30A24" w:rsidRDefault="00C30A24">
      <w:pPr>
        <w:pStyle w:val="Index1"/>
        <w:tabs>
          <w:tab w:val="right" w:leader="dot" w:pos="4105"/>
        </w:tabs>
        <w:rPr>
          <w:noProof/>
        </w:rPr>
      </w:pPr>
      <w:r>
        <w:rPr>
          <w:noProof/>
        </w:rPr>
        <w:t>Directive 2004/38/EC, 2, 3, 4</w:t>
      </w:r>
    </w:p>
    <w:p w:rsidR="00C30A24" w:rsidRDefault="00C30A24">
      <w:pPr>
        <w:pStyle w:val="Index1"/>
        <w:tabs>
          <w:tab w:val="right" w:leader="dot" w:pos="4105"/>
        </w:tabs>
        <w:rPr>
          <w:noProof/>
        </w:rPr>
      </w:pPr>
      <w:r>
        <w:rPr>
          <w:noProof/>
        </w:rPr>
        <w:t>Directive 2005/36/EC, 5</w:t>
      </w:r>
    </w:p>
    <w:p w:rsidR="00C30A24" w:rsidRDefault="00C30A24">
      <w:pPr>
        <w:pStyle w:val="Index1"/>
        <w:tabs>
          <w:tab w:val="right" w:leader="dot" w:pos="4105"/>
        </w:tabs>
        <w:rPr>
          <w:noProof/>
        </w:rPr>
      </w:pPr>
      <w:r>
        <w:rPr>
          <w:noProof/>
        </w:rPr>
        <w:t>Directive 2006/43/EC, 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E</w:t>
      </w:r>
    </w:p>
    <w:p w:rsidR="00C30A24" w:rsidRDefault="00C30A24">
      <w:pPr>
        <w:pStyle w:val="Index1"/>
        <w:tabs>
          <w:tab w:val="right" w:leader="dot" w:pos="4105"/>
        </w:tabs>
        <w:rPr>
          <w:noProof/>
        </w:rPr>
      </w:pPr>
      <w:r>
        <w:rPr>
          <w:noProof/>
        </w:rPr>
        <w:t>EC No 987/2009, 5</w:t>
      </w:r>
    </w:p>
    <w:p w:rsidR="00C30A24" w:rsidRDefault="00C30A24">
      <w:pPr>
        <w:pStyle w:val="Index1"/>
        <w:tabs>
          <w:tab w:val="right" w:leader="dot" w:pos="4105"/>
        </w:tabs>
        <w:rPr>
          <w:noProof/>
        </w:rPr>
      </w:pPr>
      <w:r>
        <w:rPr>
          <w:noProof/>
        </w:rPr>
        <w:t>Emergency Trust Fund, 13</w:t>
      </w:r>
    </w:p>
    <w:p w:rsidR="00C30A24" w:rsidRDefault="00C30A24">
      <w:pPr>
        <w:pStyle w:val="Index1"/>
        <w:tabs>
          <w:tab w:val="right" w:leader="dot" w:pos="4105"/>
        </w:tabs>
        <w:rPr>
          <w:noProof/>
        </w:rPr>
      </w:pPr>
      <w:r>
        <w:rPr>
          <w:noProof/>
        </w:rPr>
        <w:t>Euratom, 14</w:t>
      </w:r>
    </w:p>
    <w:p w:rsidR="00C30A24" w:rsidRDefault="00C30A24">
      <w:pPr>
        <w:pStyle w:val="Index1"/>
        <w:tabs>
          <w:tab w:val="right" w:leader="dot" w:pos="4105"/>
        </w:tabs>
        <w:rPr>
          <w:noProof/>
        </w:rPr>
      </w:pPr>
      <w:r>
        <w:rPr>
          <w:noProof/>
        </w:rPr>
        <w:lastRenderedPageBreak/>
        <w:t>European Central Bank, 9, 13</w:t>
      </w:r>
    </w:p>
    <w:p w:rsidR="00C30A24" w:rsidRDefault="00C30A24">
      <w:pPr>
        <w:pStyle w:val="Index1"/>
        <w:tabs>
          <w:tab w:val="right" w:leader="dot" w:pos="4105"/>
        </w:tabs>
        <w:rPr>
          <w:noProof/>
        </w:rPr>
      </w:pPr>
      <w:r>
        <w:rPr>
          <w:noProof/>
        </w:rPr>
        <w:t>European Coal and Steel Community, 10</w:t>
      </w:r>
    </w:p>
    <w:p w:rsidR="00C30A24" w:rsidRDefault="00C30A24">
      <w:pPr>
        <w:pStyle w:val="Index1"/>
        <w:tabs>
          <w:tab w:val="right" w:leader="dot" w:pos="4105"/>
        </w:tabs>
        <w:rPr>
          <w:noProof/>
        </w:rPr>
      </w:pPr>
      <w:r>
        <w:rPr>
          <w:noProof/>
        </w:rPr>
        <w:t>European Development Fund, 9, 13–14</w:t>
      </w:r>
    </w:p>
    <w:p w:rsidR="00C30A24" w:rsidRDefault="00C30A24">
      <w:pPr>
        <w:pStyle w:val="Index1"/>
        <w:tabs>
          <w:tab w:val="right" w:leader="dot" w:pos="4105"/>
        </w:tabs>
        <w:rPr>
          <w:noProof/>
        </w:rPr>
      </w:pPr>
      <w:r>
        <w:rPr>
          <w:noProof/>
        </w:rPr>
        <w:t>European Investment Bank, 9, 12–13</w:t>
      </w:r>
    </w:p>
    <w:p w:rsidR="00C30A24" w:rsidRDefault="00C30A24">
      <w:pPr>
        <w:pStyle w:val="Index1"/>
        <w:tabs>
          <w:tab w:val="right" w:leader="dot" w:pos="4105"/>
        </w:tabs>
        <w:rPr>
          <w:noProof/>
        </w:rPr>
      </w:pPr>
      <w:r>
        <w:rPr>
          <w:noProof/>
        </w:rPr>
        <w:t>European Investment Fund, 10</w:t>
      </w:r>
    </w:p>
    <w:p w:rsidR="00C30A24" w:rsidRDefault="00C30A24">
      <w:pPr>
        <w:pStyle w:val="Index1"/>
        <w:tabs>
          <w:tab w:val="right" w:leader="dot" w:pos="4105"/>
        </w:tabs>
        <w:rPr>
          <w:noProof/>
        </w:rPr>
      </w:pPr>
      <w:r>
        <w:rPr>
          <w:noProof/>
        </w:rPr>
        <w:t>European Union trust funds, 9</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F</w:t>
      </w:r>
    </w:p>
    <w:p w:rsidR="00C30A24" w:rsidRDefault="00C30A24">
      <w:pPr>
        <w:pStyle w:val="Index1"/>
        <w:tabs>
          <w:tab w:val="right" w:leader="dot" w:pos="4105"/>
        </w:tabs>
        <w:rPr>
          <w:noProof/>
        </w:rPr>
      </w:pPr>
      <w:r>
        <w:rPr>
          <w:noProof/>
        </w:rPr>
        <w:t>Facility for Refugees in Turkey, 9</w:t>
      </w:r>
    </w:p>
    <w:p w:rsidR="00C30A24" w:rsidRDefault="00C30A24">
      <w:pPr>
        <w:pStyle w:val="Index1"/>
        <w:tabs>
          <w:tab w:val="right" w:leader="dot" w:pos="4105"/>
        </w:tabs>
        <w:rPr>
          <w:noProof/>
        </w:rPr>
      </w:pPr>
      <w:r>
        <w:rPr>
          <w:noProof/>
        </w:rPr>
        <w:t>Facility for Refugees In Turkey, 13</w:t>
      </w:r>
    </w:p>
    <w:p w:rsidR="00C30A24" w:rsidRDefault="00C30A24">
      <w:pPr>
        <w:pStyle w:val="Index1"/>
        <w:tabs>
          <w:tab w:val="right" w:leader="dot" w:pos="4105"/>
        </w:tabs>
        <w:rPr>
          <w:noProof/>
        </w:rPr>
      </w:pPr>
      <w:r>
        <w:rPr>
          <w:noProof/>
        </w:rPr>
        <w:t>financial settlement, 9–11</w:t>
      </w:r>
    </w:p>
    <w:p w:rsidR="00C30A24" w:rsidRDefault="00C30A24">
      <w:pPr>
        <w:pStyle w:val="Index2"/>
        <w:tabs>
          <w:tab w:val="right" w:leader="dot" w:pos="4105"/>
        </w:tabs>
        <w:rPr>
          <w:noProof/>
        </w:rPr>
      </w:pPr>
      <w:r>
        <w:rPr>
          <w:noProof/>
        </w:rPr>
        <w:t>agreed methodology, 11</w:t>
      </w:r>
    </w:p>
    <w:p w:rsidR="00C30A24" w:rsidRDefault="00C30A24">
      <w:pPr>
        <w:pStyle w:val="Index2"/>
        <w:tabs>
          <w:tab w:val="right" w:leader="dot" w:pos="4105"/>
        </w:tabs>
        <w:rPr>
          <w:noProof/>
        </w:rPr>
      </w:pPr>
      <w:r>
        <w:rPr>
          <w:noProof/>
        </w:rPr>
        <w:t>amendments following withdrawal, 9</w:t>
      </w:r>
    </w:p>
    <w:p w:rsidR="00C30A24" w:rsidRDefault="00C30A24">
      <w:pPr>
        <w:pStyle w:val="Index2"/>
        <w:tabs>
          <w:tab w:val="right" w:leader="dot" w:pos="4105"/>
        </w:tabs>
        <w:rPr>
          <w:noProof/>
        </w:rPr>
      </w:pPr>
      <w:r>
        <w:rPr>
          <w:noProof/>
        </w:rPr>
        <w:t>audit, 11</w:t>
      </w:r>
    </w:p>
    <w:p w:rsidR="00C30A24" w:rsidRDefault="00C30A24">
      <w:pPr>
        <w:pStyle w:val="Index2"/>
        <w:tabs>
          <w:tab w:val="right" w:leader="dot" w:pos="4105"/>
        </w:tabs>
        <w:rPr>
          <w:noProof/>
        </w:rPr>
      </w:pPr>
      <w:r>
        <w:rPr>
          <w:noProof/>
        </w:rPr>
        <w:t>currency, 11</w:t>
      </w:r>
    </w:p>
    <w:p w:rsidR="00C30A24" w:rsidRDefault="00C30A24">
      <w:pPr>
        <w:pStyle w:val="Index2"/>
        <w:tabs>
          <w:tab w:val="right" w:leader="dot" w:pos="4105"/>
        </w:tabs>
        <w:rPr>
          <w:noProof/>
        </w:rPr>
      </w:pPr>
      <w:r>
        <w:rPr>
          <w:noProof/>
        </w:rPr>
        <w:t>methodology, 9</w:t>
      </w:r>
    </w:p>
    <w:p w:rsidR="00C30A24" w:rsidRDefault="00C30A24">
      <w:pPr>
        <w:pStyle w:val="Index2"/>
        <w:tabs>
          <w:tab w:val="right" w:leader="dot" w:pos="4105"/>
        </w:tabs>
        <w:rPr>
          <w:noProof/>
        </w:rPr>
      </w:pPr>
      <w:r>
        <w:rPr>
          <w:noProof/>
        </w:rPr>
        <w:t>paid-in guarantees, 10</w:t>
      </w:r>
    </w:p>
    <w:p w:rsidR="00C30A24" w:rsidRDefault="00C30A24">
      <w:pPr>
        <w:pStyle w:val="Index2"/>
        <w:tabs>
          <w:tab w:val="right" w:leader="dot" w:pos="4105"/>
        </w:tabs>
        <w:rPr>
          <w:noProof/>
        </w:rPr>
      </w:pPr>
      <w:r>
        <w:rPr>
          <w:noProof/>
        </w:rPr>
        <w:t>Reste à liquider (RAL), 10</w:t>
      </w:r>
    </w:p>
    <w:p w:rsidR="00C30A24" w:rsidRDefault="00C30A24">
      <w:pPr>
        <w:pStyle w:val="Index2"/>
        <w:tabs>
          <w:tab w:val="right" w:leader="dot" w:pos="4105"/>
        </w:tabs>
        <w:rPr>
          <w:noProof/>
        </w:rPr>
      </w:pPr>
      <w:r>
        <w:rPr>
          <w:noProof/>
        </w:rPr>
        <w:t>revenue adjustment procedure, 10</w:t>
      </w:r>
    </w:p>
    <w:p w:rsidR="00C30A24" w:rsidRDefault="00C30A24">
      <w:pPr>
        <w:pStyle w:val="Index2"/>
        <w:tabs>
          <w:tab w:val="right" w:leader="dot" w:pos="4105"/>
        </w:tabs>
        <w:rPr>
          <w:noProof/>
        </w:rPr>
      </w:pPr>
      <w:r>
        <w:rPr>
          <w:noProof/>
        </w:rPr>
        <w:t>schedule of payments, 11</w:t>
      </w:r>
    </w:p>
    <w:p w:rsidR="00C30A24" w:rsidRDefault="00C30A24">
      <w:pPr>
        <w:pStyle w:val="Index2"/>
        <w:tabs>
          <w:tab w:val="right" w:leader="dot" w:pos="4105"/>
        </w:tabs>
        <w:rPr>
          <w:noProof/>
        </w:rPr>
      </w:pPr>
      <w:r>
        <w:rPr>
          <w:noProof/>
        </w:rPr>
        <w:t>second phase of the negotiations, 11</w:t>
      </w:r>
    </w:p>
    <w:p w:rsidR="00C30A24" w:rsidRDefault="00C30A24">
      <w:pPr>
        <w:pStyle w:val="Index2"/>
        <w:tabs>
          <w:tab w:val="right" w:leader="dot" w:pos="4105"/>
        </w:tabs>
        <w:rPr>
          <w:noProof/>
        </w:rPr>
      </w:pPr>
      <w:r>
        <w:rPr>
          <w:noProof/>
        </w:rPr>
        <w:t>simplified procedure, 11</w:t>
      </w:r>
    </w:p>
    <w:p w:rsidR="00C30A24" w:rsidRDefault="00C30A24">
      <w:pPr>
        <w:pStyle w:val="Index2"/>
        <w:tabs>
          <w:tab w:val="right" w:leader="dot" w:pos="4105"/>
        </w:tabs>
        <w:rPr>
          <w:noProof/>
        </w:rPr>
      </w:pPr>
      <w:r>
        <w:rPr>
          <w:noProof/>
        </w:rPr>
        <w:t>Union annual budgets, 9</w:t>
      </w:r>
    </w:p>
    <w:p w:rsidR="00C30A24" w:rsidRDefault="00C30A24">
      <w:pPr>
        <w:pStyle w:val="Index2"/>
        <w:tabs>
          <w:tab w:val="right" w:leader="dot" w:pos="4105"/>
        </w:tabs>
        <w:rPr>
          <w:noProof/>
        </w:rPr>
      </w:pPr>
      <w:r>
        <w:rPr>
          <w:noProof/>
        </w:rPr>
        <w:t>Union contingent liabilities, 10</w:t>
      </w:r>
    </w:p>
    <w:p w:rsidR="00C30A24" w:rsidRDefault="00C30A24">
      <w:pPr>
        <w:pStyle w:val="Index2"/>
        <w:tabs>
          <w:tab w:val="right" w:leader="dot" w:pos="4105"/>
        </w:tabs>
        <w:rPr>
          <w:noProof/>
        </w:rPr>
      </w:pPr>
      <w:r>
        <w:rPr>
          <w:noProof/>
        </w:rPr>
        <w:t>Union’s contingent liabilities, 10</w:t>
      </w:r>
    </w:p>
    <w:p w:rsidR="00C30A24" w:rsidRDefault="00C30A24">
      <w:pPr>
        <w:pStyle w:val="Index2"/>
        <w:tabs>
          <w:tab w:val="right" w:leader="dot" w:pos="4105"/>
        </w:tabs>
        <w:rPr>
          <w:noProof/>
        </w:rPr>
      </w:pPr>
      <w:r>
        <w:rPr>
          <w:noProof/>
        </w:rPr>
        <w:t>Union's liabilities, 10</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I</w:t>
      </w:r>
    </w:p>
    <w:p w:rsidR="00C30A24" w:rsidRDefault="00C30A24">
      <w:pPr>
        <w:pStyle w:val="Index1"/>
        <w:tabs>
          <w:tab w:val="right" w:leader="dot" w:pos="4105"/>
        </w:tabs>
        <w:rPr>
          <w:noProof/>
        </w:rPr>
      </w:pPr>
      <w:r>
        <w:rPr>
          <w:noProof/>
        </w:rPr>
        <w:t>Ireland and Northern Ireland, 7–9</w:t>
      </w:r>
    </w:p>
    <w:p w:rsidR="00C30A24" w:rsidRDefault="00C30A24">
      <w:pPr>
        <w:pStyle w:val="Index2"/>
        <w:tabs>
          <w:tab w:val="right" w:leader="dot" w:pos="4105"/>
        </w:tabs>
        <w:rPr>
          <w:noProof/>
        </w:rPr>
      </w:pPr>
      <w:r>
        <w:rPr>
          <w:noProof/>
        </w:rPr>
        <w:t>1998 Agreement, 7, 8</w:t>
      </w:r>
    </w:p>
    <w:p w:rsidR="00C30A24" w:rsidRDefault="00C30A24">
      <w:pPr>
        <w:pStyle w:val="Index2"/>
        <w:tabs>
          <w:tab w:val="right" w:leader="dot" w:pos="4105"/>
        </w:tabs>
        <w:rPr>
          <w:noProof/>
        </w:rPr>
      </w:pPr>
      <w:r>
        <w:rPr>
          <w:noProof/>
        </w:rPr>
        <w:t>absence of agreed solutions, 8</w:t>
      </w:r>
    </w:p>
    <w:p w:rsidR="00C30A24" w:rsidRDefault="00C30A24">
      <w:pPr>
        <w:pStyle w:val="Index2"/>
        <w:tabs>
          <w:tab w:val="right" w:leader="dot" w:pos="4105"/>
        </w:tabs>
        <w:rPr>
          <w:noProof/>
        </w:rPr>
      </w:pPr>
      <w:r>
        <w:rPr>
          <w:noProof/>
        </w:rPr>
        <w:t>avoidance of hard border, 7</w:t>
      </w:r>
    </w:p>
    <w:p w:rsidR="00C30A24" w:rsidRDefault="00C30A24">
      <w:pPr>
        <w:pStyle w:val="Index2"/>
        <w:tabs>
          <w:tab w:val="right" w:leader="dot" w:pos="4105"/>
        </w:tabs>
        <w:rPr>
          <w:noProof/>
        </w:rPr>
      </w:pPr>
      <w:r>
        <w:rPr>
          <w:noProof/>
        </w:rPr>
        <w:t>Common Travel Area, 9</w:t>
      </w:r>
    </w:p>
    <w:p w:rsidR="00C30A24" w:rsidRDefault="00C30A24">
      <w:pPr>
        <w:pStyle w:val="Index2"/>
        <w:tabs>
          <w:tab w:val="right" w:leader="dot" w:pos="4105"/>
        </w:tabs>
        <w:rPr>
          <w:noProof/>
        </w:rPr>
      </w:pPr>
      <w:r>
        <w:rPr>
          <w:noProof/>
        </w:rPr>
        <w:t>Customs Union, 8</w:t>
      </w:r>
    </w:p>
    <w:p w:rsidR="00C30A24" w:rsidRDefault="00C30A24">
      <w:pPr>
        <w:pStyle w:val="Index2"/>
        <w:tabs>
          <w:tab w:val="right" w:leader="dot" w:pos="4105"/>
        </w:tabs>
        <w:rPr>
          <w:noProof/>
        </w:rPr>
      </w:pPr>
      <w:r>
        <w:rPr>
          <w:noProof/>
        </w:rPr>
        <w:t>East-West cooperation, 8</w:t>
      </w:r>
    </w:p>
    <w:p w:rsidR="00C30A24" w:rsidRDefault="00C30A24">
      <w:pPr>
        <w:pStyle w:val="Index2"/>
        <w:tabs>
          <w:tab w:val="right" w:leader="dot" w:pos="4105"/>
        </w:tabs>
        <w:rPr>
          <w:noProof/>
        </w:rPr>
      </w:pPr>
      <w:r>
        <w:rPr>
          <w:noProof/>
        </w:rPr>
        <w:t>EU Internal Market, 8</w:t>
      </w:r>
    </w:p>
    <w:p w:rsidR="00C30A24" w:rsidRDefault="00C30A24">
      <w:pPr>
        <w:pStyle w:val="Index2"/>
        <w:tabs>
          <w:tab w:val="right" w:leader="dot" w:pos="4105"/>
        </w:tabs>
        <w:rPr>
          <w:noProof/>
        </w:rPr>
      </w:pPr>
      <w:r>
        <w:rPr>
          <w:noProof/>
        </w:rPr>
        <w:t>Good Friday agreement, 7</w:t>
      </w:r>
    </w:p>
    <w:p w:rsidR="00C30A24" w:rsidRDefault="00C30A24">
      <w:pPr>
        <w:pStyle w:val="Index2"/>
        <w:tabs>
          <w:tab w:val="right" w:leader="dot" w:pos="4105"/>
        </w:tabs>
        <w:rPr>
          <w:noProof/>
        </w:rPr>
      </w:pPr>
      <w:r>
        <w:rPr>
          <w:noProof/>
        </w:rPr>
        <w:t>INTERREG funding programme, 9</w:t>
      </w:r>
    </w:p>
    <w:p w:rsidR="00C30A24" w:rsidRDefault="00C30A24">
      <w:pPr>
        <w:pStyle w:val="Index2"/>
        <w:tabs>
          <w:tab w:val="right" w:leader="dot" w:pos="4105"/>
        </w:tabs>
        <w:rPr>
          <w:noProof/>
        </w:rPr>
      </w:pPr>
      <w:r>
        <w:rPr>
          <w:noProof/>
        </w:rPr>
        <w:t>Irish citizens, 8</w:t>
      </w:r>
    </w:p>
    <w:p w:rsidR="00C30A24" w:rsidRDefault="00C30A24">
      <w:pPr>
        <w:pStyle w:val="Index2"/>
        <w:tabs>
          <w:tab w:val="right" w:leader="dot" w:pos="4105"/>
        </w:tabs>
        <w:rPr>
          <w:noProof/>
        </w:rPr>
      </w:pPr>
      <w:r>
        <w:rPr>
          <w:noProof/>
        </w:rPr>
        <w:t>Northern Ireland Assembly, 7</w:t>
      </w:r>
    </w:p>
    <w:p w:rsidR="00C30A24" w:rsidRDefault="00C30A24">
      <w:pPr>
        <w:pStyle w:val="Index2"/>
        <w:tabs>
          <w:tab w:val="right" w:leader="dot" w:pos="4105"/>
        </w:tabs>
        <w:rPr>
          <w:noProof/>
        </w:rPr>
      </w:pPr>
      <w:r>
        <w:rPr>
          <w:noProof/>
        </w:rPr>
        <w:t>Northern Ireland Executive, 7</w:t>
      </w:r>
    </w:p>
    <w:p w:rsidR="00C30A24" w:rsidRDefault="00C30A24">
      <w:pPr>
        <w:pStyle w:val="Index2"/>
        <w:tabs>
          <w:tab w:val="right" w:leader="dot" w:pos="4105"/>
        </w:tabs>
        <w:rPr>
          <w:noProof/>
        </w:rPr>
      </w:pPr>
      <w:r>
        <w:rPr>
          <w:noProof/>
        </w:rPr>
        <w:t>North-South cooperation, 8</w:t>
      </w:r>
    </w:p>
    <w:p w:rsidR="00C30A24" w:rsidRDefault="00C30A24">
      <w:pPr>
        <w:pStyle w:val="Index2"/>
        <w:tabs>
          <w:tab w:val="right" w:leader="dot" w:pos="4105"/>
        </w:tabs>
        <w:rPr>
          <w:noProof/>
        </w:rPr>
      </w:pPr>
      <w:r>
        <w:rPr>
          <w:noProof/>
        </w:rPr>
        <w:t>North-South Ministerial Council, 7</w:t>
      </w:r>
    </w:p>
    <w:p w:rsidR="00C30A24" w:rsidRDefault="00C30A24">
      <w:pPr>
        <w:pStyle w:val="Index2"/>
        <w:tabs>
          <w:tab w:val="right" w:leader="dot" w:pos="4105"/>
        </w:tabs>
        <w:rPr>
          <w:noProof/>
        </w:rPr>
      </w:pPr>
      <w:r>
        <w:rPr>
          <w:noProof/>
        </w:rPr>
        <w:t>PEACE funding programme, 9</w:t>
      </w:r>
    </w:p>
    <w:p w:rsidR="00C30A24" w:rsidRDefault="00C30A24">
      <w:pPr>
        <w:pStyle w:val="Index2"/>
        <w:tabs>
          <w:tab w:val="right" w:leader="dot" w:pos="4105"/>
        </w:tabs>
        <w:rPr>
          <w:noProof/>
        </w:rPr>
      </w:pPr>
      <w:r>
        <w:rPr>
          <w:noProof/>
        </w:rPr>
        <w:t>peace process, 7</w:t>
      </w:r>
    </w:p>
    <w:p w:rsidR="00C30A24" w:rsidRDefault="00C30A24">
      <w:pPr>
        <w:pStyle w:val="Index2"/>
        <w:tabs>
          <w:tab w:val="right" w:leader="dot" w:pos="4105"/>
        </w:tabs>
        <w:rPr>
          <w:noProof/>
        </w:rPr>
      </w:pPr>
      <w:r>
        <w:rPr>
          <w:noProof/>
        </w:rPr>
        <w:t>Rights, Safeguards and Equality of Opportunity, 8</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J</w:t>
      </w:r>
    </w:p>
    <w:p w:rsidR="00C30A24" w:rsidRDefault="00C30A24">
      <w:pPr>
        <w:pStyle w:val="Index1"/>
        <w:tabs>
          <w:tab w:val="right" w:leader="dot" w:pos="4105"/>
        </w:tabs>
        <w:rPr>
          <w:noProof/>
        </w:rPr>
      </w:pPr>
      <w:r>
        <w:rPr>
          <w:noProof/>
        </w:rPr>
        <w:t>judgements</w:t>
      </w:r>
    </w:p>
    <w:p w:rsidR="00C30A24" w:rsidRDefault="00C30A24">
      <w:pPr>
        <w:pStyle w:val="Index2"/>
        <w:tabs>
          <w:tab w:val="right" w:leader="dot" w:pos="4105"/>
        </w:tabs>
        <w:rPr>
          <w:noProof/>
        </w:rPr>
      </w:pPr>
      <w:r>
        <w:rPr>
          <w:noProof/>
        </w:rPr>
        <w:t>enforcement of, 14</w:t>
      </w:r>
    </w:p>
    <w:p w:rsidR="00C30A24" w:rsidRDefault="00C30A24">
      <w:pPr>
        <w:pStyle w:val="Index1"/>
        <w:tabs>
          <w:tab w:val="right" w:leader="dot" w:pos="4105"/>
        </w:tabs>
        <w:rPr>
          <w:noProof/>
        </w:rPr>
      </w:pPr>
      <w:r>
        <w:rPr>
          <w:noProof/>
        </w:rPr>
        <w:t>judicial cooperation, 14–15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M</w:t>
      </w:r>
    </w:p>
    <w:p w:rsidR="00C30A24" w:rsidRDefault="00C30A24">
      <w:pPr>
        <w:pStyle w:val="Index1"/>
        <w:tabs>
          <w:tab w:val="right" w:leader="dot" w:pos="4105"/>
        </w:tabs>
        <w:rPr>
          <w:noProof/>
        </w:rPr>
      </w:pPr>
      <w:r>
        <w:rPr>
          <w:noProof/>
        </w:rPr>
        <w:t>Multiannual Financial Framework (MFF), 9, 12</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P</w:t>
      </w:r>
    </w:p>
    <w:p w:rsidR="00C30A24" w:rsidRDefault="00C30A24">
      <w:pPr>
        <w:pStyle w:val="Index1"/>
        <w:tabs>
          <w:tab w:val="right" w:leader="dot" w:pos="4105"/>
        </w:tabs>
        <w:rPr>
          <w:noProof/>
        </w:rPr>
      </w:pPr>
      <w:r>
        <w:rPr>
          <w:noProof/>
        </w:rPr>
        <w:t>police cooperation, 14–15</w:t>
      </w:r>
    </w:p>
    <w:p w:rsidR="00C30A24" w:rsidRDefault="00C30A24">
      <w:pPr>
        <w:pStyle w:val="Index1"/>
        <w:tabs>
          <w:tab w:val="right" w:leader="dot" w:pos="4105"/>
        </w:tabs>
        <w:rPr>
          <w:noProof/>
        </w:rPr>
      </w:pPr>
      <w:r>
        <w:rPr>
          <w:noProof/>
        </w:rPr>
        <w:t>professional secrecy, 15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lastRenderedPageBreak/>
        <w:t>R</w:t>
      </w:r>
    </w:p>
    <w:p w:rsidR="00C30A24" w:rsidRDefault="00C30A24">
      <w:pPr>
        <w:pStyle w:val="Index1"/>
        <w:tabs>
          <w:tab w:val="right" w:leader="dot" w:pos="4105"/>
        </w:tabs>
        <w:rPr>
          <w:noProof/>
        </w:rPr>
      </w:pPr>
      <w:r>
        <w:rPr>
          <w:noProof/>
        </w:rPr>
        <w:t>Regulation (EC) No 883/2004, 5</w:t>
      </w:r>
    </w:p>
    <w:p w:rsidR="00C30A24" w:rsidRDefault="00C30A24">
      <w:pPr>
        <w:pStyle w:val="Index1"/>
        <w:tabs>
          <w:tab w:val="right" w:leader="dot" w:pos="4105"/>
        </w:tabs>
        <w:rPr>
          <w:noProof/>
        </w:rPr>
      </w:pPr>
      <w:r>
        <w:rPr>
          <w:noProof/>
        </w:rPr>
        <w:t>Regulations (EC) No 883/2004, 4, 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S</w:t>
      </w:r>
    </w:p>
    <w:p w:rsidR="00C30A24" w:rsidRDefault="00C30A24">
      <w:pPr>
        <w:pStyle w:val="Index1"/>
        <w:tabs>
          <w:tab w:val="right" w:leader="dot" w:pos="4105"/>
        </w:tabs>
        <w:rPr>
          <w:noProof/>
        </w:rPr>
      </w:pPr>
      <w:r>
        <w:rPr>
          <w:noProof/>
        </w:rPr>
        <w:t>space programmes, 11</w:t>
      </w:r>
    </w:p>
    <w:p w:rsidR="00C30A24" w:rsidRDefault="00C30A24">
      <w:pPr>
        <w:pStyle w:val="Index1"/>
        <w:tabs>
          <w:tab w:val="right" w:leader="dot" w:pos="4105"/>
        </w:tabs>
        <w:rPr>
          <w:noProof/>
        </w:rPr>
      </w:pPr>
      <w:r>
        <w:rPr>
          <w:noProof/>
        </w:rPr>
        <w:t>specified date, 1</w:t>
      </w:r>
    </w:p>
    <w:p w:rsidR="00C30A24" w:rsidRDefault="00C30A24">
      <w:pPr>
        <w:pStyle w:val="Index2"/>
        <w:tabs>
          <w:tab w:val="right" w:leader="dot" w:pos="4105"/>
        </w:tabs>
        <w:rPr>
          <w:noProof/>
        </w:rPr>
      </w:pPr>
      <w:r>
        <w:rPr>
          <w:noProof/>
        </w:rPr>
        <w:t>children, 2</w:t>
      </w:r>
    </w:p>
    <w:p w:rsidR="00C30A24" w:rsidRDefault="00C30A24">
      <w:pPr>
        <w:pStyle w:val="Index2"/>
        <w:tabs>
          <w:tab w:val="right" w:leader="dot" w:pos="4105"/>
        </w:tabs>
        <w:rPr>
          <w:noProof/>
        </w:rPr>
      </w:pPr>
      <w:r>
        <w:rPr>
          <w:noProof/>
        </w:rPr>
        <w:t>citizens, 2</w:t>
      </w:r>
    </w:p>
    <w:p w:rsidR="00C30A24" w:rsidRDefault="00C30A24">
      <w:pPr>
        <w:pStyle w:val="Index2"/>
        <w:tabs>
          <w:tab w:val="right" w:leader="dot" w:pos="4105"/>
        </w:tabs>
        <w:rPr>
          <w:noProof/>
        </w:rPr>
      </w:pPr>
      <w:r>
        <w:rPr>
          <w:noProof/>
        </w:rPr>
        <w:t>citizens’ rights, 1, 2, 6</w:t>
      </w:r>
    </w:p>
    <w:p w:rsidR="00C30A24" w:rsidRDefault="00C30A24">
      <w:pPr>
        <w:pStyle w:val="Index2"/>
        <w:tabs>
          <w:tab w:val="right" w:leader="dot" w:pos="4105"/>
        </w:tabs>
        <w:rPr>
          <w:noProof/>
        </w:rPr>
      </w:pPr>
      <w:r>
        <w:rPr>
          <w:noProof/>
        </w:rPr>
        <w:t>family members, 2</w:t>
      </w:r>
    </w:p>
    <w:p w:rsidR="00C30A24" w:rsidRDefault="00C30A24">
      <w:pPr>
        <w:pStyle w:val="Index2"/>
        <w:tabs>
          <w:tab w:val="right" w:leader="dot" w:pos="4105"/>
        </w:tabs>
        <w:rPr>
          <w:noProof/>
        </w:rPr>
      </w:pPr>
      <w:r>
        <w:rPr>
          <w:noProof/>
        </w:rPr>
        <w:t>frontier workers, 2</w:t>
      </w:r>
    </w:p>
    <w:p w:rsidR="00C30A24" w:rsidRDefault="00C30A24">
      <w:pPr>
        <w:pStyle w:val="Index2"/>
        <w:tabs>
          <w:tab w:val="right" w:leader="dot" w:pos="4105"/>
        </w:tabs>
        <w:rPr>
          <w:noProof/>
        </w:rPr>
      </w:pPr>
      <w:r>
        <w:rPr>
          <w:noProof/>
        </w:rPr>
        <w:t>healthcare, 5</w:t>
      </w:r>
    </w:p>
    <w:p w:rsidR="00C30A24" w:rsidRDefault="00C30A24">
      <w:pPr>
        <w:pStyle w:val="Index2"/>
        <w:tabs>
          <w:tab w:val="right" w:leader="dot" w:pos="4105"/>
        </w:tabs>
        <w:rPr>
          <w:noProof/>
        </w:rPr>
      </w:pPr>
      <w:r>
        <w:rPr>
          <w:noProof/>
        </w:rPr>
        <w:t>partners, 2</w:t>
      </w:r>
    </w:p>
    <w:p w:rsidR="00C30A24" w:rsidRDefault="00C30A24">
      <w:pPr>
        <w:pStyle w:val="Index2"/>
        <w:tabs>
          <w:tab w:val="right" w:leader="dot" w:pos="4105"/>
        </w:tabs>
        <w:rPr>
          <w:noProof/>
        </w:rPr>
      </w:pPr>
      <w:r>
        <w:rPr>
          <w:noProof/>
        </w:rPr>
        <w:t>qualifications, 5</w:t>
      </w:r>
    </w:p>
    <w:p w:rsidR="00C30A24" w:rsidRDefault="00C30A24">
      <w:pPr>
        <w:pStyle w:val="Index2"/>
        <w:tabs>
          <w:tab w:val="right" w:leader="dot" w:pos="4105"/>
        </w:tabs>
        <w:rPr>
          <w:noProof/>
        </w:rPr>
      </w:pPr>
      <w:r>
        <w:rPr>
          <w:noProof/>
        </w:rPr>
        <w:lastRenderedPageBreak/>
        <w:t>residence, 4</w:t>
      </w:r>
    </w:p>
    <w:p w:rsidR="00C30A24" w:rsidRDefault="00C30A24">
      <w:pPr>
        <w:pStyle w:val="Index2"/>
        <w:tabs>
          <w:tab w:val="right" w:leader="dot" w:pos="4105"/>
        </w:tabs>
        <w:rPr>
          <w:noProof/>
        </w:rPr>
      </w:pPr>
      <w:r>
        <w:rPr>
          <w:noProof/>
        </w:rPr>
        <w:t>residence document, 4</w:t>
      </w:r>
    </w:p>
    <w:p w:rsidR="00C30A24" w:rsidRDefault="00C30A24">
      <w:pPr>
        <w:pStyle w:val="Index2"/>
        <w:tabs>
          <w:tab w:val="right" w:leader="dot" w:pos="4105"/>
        </w:tabs>
        <w:rPr>
          <w:noProof/>
        </w:rPr>
      </w:pPr>
      <w:r>
        <w:rPr>
          <w:noProof/>
        </w:rPr>
        <w:t>restrictions, 4</w:t>
      </w:r>
    </w:p>
    <w:p w:rsidR="00C30A24" w:rsidRDefault="00C30A24">
      <w:pPr>
        <w:pStyle w:val="Index2"/>
        <w:tabs>
          <w:tab w:val="right" w:leader="dot" w:pos="4105"/>
        </w:tabs>
        <w:rPr>
          <w:noProof/>
        </w:rPr>
      </w:pPr>
      <w:r>
        <w:rPr>
          <w:noProof/>
        </w:rPr>
        <w:t>social security coordination, 4</w:t>
      </w:r>
    </w:p>
    <w:p w:rsidR="00C30A24" w:rsidRDefault="00C30A24">
      <w:pPr>
        <w:pStyle w:val="Index1"/>
        <w:tabs>
          <w:tab w:val="right" w:leader="dot" w:pos="4105"/>
        </w:tabs>
        <w:rPr>
          <w:noProof/>
        </w:rPr>
      </w:pPr>
      <w:r>
        <w:rPr>
          <w:noProof/>
        </w:rPr>
        <w:t>state aid, 15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T</w:t>
      </w:r>
    </w:p>
    <w:p w:rsidR="00C30A24" w:rsidRDefault="00C30A24">
      <w:pPr>
        <w:pStyle w:val="Index1"/>
        <w:tabs>
          <w:tab w:val="right" w:leader="dot" w:pos="4105"/>
        </w:tabs>
        <w:rPr>
          <w:noProof/>
        </w:rPr>
      </w:pPr>
      <w:r>
        <w:rPr>
          <w:noProof/>
        </w:rPr>
        <w:t xml:space="preserve">time of withdrawal. </w:t>
      </w:r>
      <w:r w:rsidRPr="00112ACE">
        <w:rPr>
          <w:rFonts w:cstheme="minorHAnsi"/>
          <w:i/>
          <w:noProof/>
        </w:rPr>
        <w:t xml:space="preserve">see </w:t>
      </w:r>
      <w:r w:rsidRPr="00112ACE">
        <w:rPr>
          <w:rFonts w:cstheme="minorHAnsi"/>
          <w:noProof/>
        </w:rPr>
        <w:t>specified date</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U</w:t>
      </w:r>
    </w:p>
    <w:p w:rsidR="00C30A24" w:rsidRDefault="00C30A24">
      <w:pPr>
        <w:pStyle w:val="Index1"/>
        <w:tabs>
          <w:tab w:val="right" w:leader="dot" w:pos="4105"/>
        </w:tabs>
        <w:rPr>
          <w:noProof/>
        </w:rPr>
      </w:pPr>
      <w:r>
        <w:rPr>
          <w:noProof/>
        </w:rPr>
        <w:t>UK Courts and the CJEU, 6</w:t>
      </w:r>
    </w:p>
    <w:p w:rsidR="00C30A24" w:rsidRDefault="00C30A24">
      <w:pPr>
        <w:pStyle w:val="Index2"/>
        <w:tabs>
          <w:tab w:val="right" w:leader="dot" w:pos="4105"/>
        </w:tabs>
        <w:rPr>
          <w:noProof/>
        </w:rPr>
      </w:pPr>
      <w:r>
        <w:rPr>
          <w:noProof/>
        </w:rPr>
        <w:t>intervention, 6</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W</w:t>
      </w:r>
    </w:p>
    <w:p w:rsidR="00C30A24" w:rsidRDefault="00C30A24">
      <w:pPr>
        <w:pStyle w:val="Index1"/>
        <w:tabs>
          <w:tab w:val="right" w:leader="dot" w:pos="4105"/>
        </w:tabs>
        <w:rPr>
          <w:noProof/>
        </w:rPr>
      </w:pPr>
      <w:r>
        <w:rPr>
          <w:noProof/>
        </w:rPr>
        <w:t>Withdrawal Agreement &amp; Implementation Bill, 5, 6</w:t>
      </w:r>
    </w:p>
    <w:p w:rsidR="00C30A24" w:rsidRDefault="00C30A24" w:rsidP="00C30A24">
      <w:pPr>
        <w:rPr>
          <w:noProof/>
        </w:rPr>
        <w:sectPr w:rsidR="00C30A24" w:rsidSect="00C30A24">
          <w:type w:val="continuous"/>
          <w:pgSz w:w="11910" w:h="16840"/>
          <w:pgMar w:top="1320" w:right="1300" w:bottom="1240" w:left="1660" w:header="0" w:footer="1044" w:gutter="0"/>
          <w:cols w:num="2" w:space="720"/>
        </w:sectPr>
      </w:pPr>
    </w:p>
    <w:p w:rsidR="00F91B68" w:rsidRPr="00B0304D" w:rsidRDefault="00C30A24" w:rsidP="00C30A24">
      <w:r>
        <w:lastRenderedPageBreak/>
        <w:fldChar w:fldCharType="end"/>
      </w:r>
    </w:p>
    <w:p w:rsidR="00B0304D" w:rsidRPr="00B0304D" w:rsidRDefault="00B0304D" w:rsidP="00D528AE"/>
    <w:p w:rsidR="00B0304D" w:rsidRDefault="00B0304D">
      <w:r>
        <w:br w:type="page"/>
      </w:r>
    </w:p>
    <w:p w:rsidR="00B0304D" w:rsidRPr="00B0304D" w:rsidRDefault="00B0304D" w:rsidP="00D528AE">
      <w:r w:rsidRPr="00B0304D">
        <w:lastRenderedPageBreak/>
        <w:t>Partial Index</w:t>
      </w:r>
    </w:p>
    <w:p w:rsidR="00B0304D" w:rsidRPr="00B0304D" w:rsidRDefault="00B0304D" w:rsidP="00D528AE"/>
    <w:p w:rsidR="00C30A24" w:rsidRDefault="00C30A24" w:rsidP="00B0304D">
      <w:pPr>
        <w:rPr>
          <w:noProof/>
        </w:rPr>
        <w:sectPr w:rsidR="00C30A24" w:rsidSect="00C30A24">
          <w:type w:val="continuous"/>
          <w:pgSz w:w="11910" w:h="16840"/>
          <w:pgMar w:top="1320" w:right="1300" w:bottom="1240" w:left="1660" w:header="0" w:footer="1044" w:gutter="0"/>
          <w:cols w:space="720"/>
        </w:sectPr>
      </w:pPr>
      <w:r>
        <w:fldChar w:fldCharType="begin"/>
      </w:r>
      <w:r>
        <w:instrText xml:space="preserve"> INDEX \c "2" \z "2057"  \h "A" \b "ixeIndexRange" </w:instrText>
      </w:r>
      <w:r>
        <w:fldChar w:fldCharType="separate"/>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lastRenderedPageBreak/>
        <w:t>C</w:t>
      </w:r>
    </w:p>
    <w:p w:rsidR="00C30A24" w:rsidRDefault="00C30A24">
      <w:pPr>
        <w:pStyle w:val="Index1"/>
        <w:tabs>
          <w:tab w:val="right" w:leader="dot" w:pos="4105"/>
        </w:tabs>
        <w:rPr>
          <w:noProof/>
        </w:rPr>
      </w:pPr>
      <w:r>
        <w:rPr>
          <w:noProof/>
        </w:rPr>
        <w:t>citizens’ rights, 1–7</w:t>
      </w:r>
    </w:p>
    <w:p w:rsidR="00C30A24" w:rsidRDefault="00C30A24">
      <w:pPr>
        <w:pStyle w:val="Index2"/>
        <w:tabs>
          <w:tab w:val="right" w:leader="dot" w:pos="4105"/>
        </w:tabs>
        <w:rPr>
          <w:noProof/>
        </w:rPr>
      </w:pPr>
      <w:r>
        <w:rPr>
          <w:noProof/>
        </w:rPr>
        <w:t>absence from territory, 4</w:t>
      </w:r>
    </w:p>
    <w:p w:rsidR="00C30A24" w:rsidRDefault="00C30A24">
      <w:pPr>
        <w:pStyle w:val="Index2"/>
        <w:tabs>
          <w:tab w:val="right" w:leader="dot" w:pos="4105"/>
        </w:tabs>
        <w:rPr>
          <w:noProof/>
        </w:rPr>
      </w:pPr>
      <w:r>
        <w:rPr>
          <w:noProof/>
        </w:rPr>
        <w:t>application forms, 3</w:t>
      </w:r>
    </w:p>
    <w:p w:rsidR="00C30A24" w:rsidRDefault="00C30A24">
      <w:pPr>
        <w:pStyle w:val="Index2"/>
        <w:tabs>
          <w:tab w:val="right" w:leader="dot" w:pos="4105"/>
        </w:tabs>
        <w:rPr>
          <w:noProof/>
        </w:rPr>
      </w:pPr>
      <w:r>
        <w:rPr>
          <w:noProof/>
        </w:rPr>
        <w:t>auditors, 5</w:t>
      </w:r>
    </w:p>
    <w:p w:rsidR="00C30A24" w:rsidRDefault="00C30A24">
      <w:pPr>
        <w:pStyle w:val="Index2"/>
        <w:tabs>
          <w:tab w:val="right" w:leader="dot" w:pos="4105"/>
        </w:tabs>
        <w:rPr>
          <w:noProof/>
        </w:rPr>
      </w:pPr>
      <w:r>
        <w:rPr>
          <w:noProof/>
        </w:rPr>
        <w:t>children, 2</w:t>
      </w:r>
    </w:p>
    <w:p w:rsidR="00C30A24" w:rsidRDefault="00C30A24">
      <w:pPr>
        <w:pStyle w:val="Index2"/>
        <w:tabs>
          <w:tab w:val="right" w:leader="dot" w:pos="4105"/>
        </w:tabs>
        <w:rPr>
          <w:noProof/>
        </w:rPr>
      </w:pPr>
      <w:r>
        <w:rPr>
          <w:noProof/>
        </w:rPr>
        <w:t>consistent interpretation, 6</w:t>
      </w:r>
    </w:p>
    <w:p w:rsidR="00C30A24" w:rsidRDefault="00C30A24">
      <w:pPr>
        <w:pStyle w:val="Index2"/>
        <w:tabs>
          <w:tab w:val="right" w:leader="dot" w:pos="4105"/>
        </w:tabs>
        <w:rPr>
          <w:noProof/>
        </w:rPr>
      </w:pPr>
      <w:r>
        <w:rPr>
          <w:noProof/>
        </w:rPr>
        <w:t>criminality and security checks, 4</w:t>
      </w:r>
    </w:p>
    <w:p w:rsidR="00C30A24" w:rsidRDefault="00C30A24">
      <w:pPr>
        <w:pStyle w:val="Index2"/>
        <w:tabs>
          <w:tab w:val="right" w:leader="dot" w:pos="4105"/>
        </w:tabs>
        <w:rPr>
          <w:noProof/>
        </w:rPr>
      </w:pPr>
      <w:r>
        <w:rPr>
          <w:noProof/>
        </w:rPr>
        <w:t>discretion, 4</w:t>
      </w:r>
    </w:p>
    <w:p w:rsidR="00C30A24" w:rsidRDefault="00C30A24">
      <w:pPr>
        <w:pStyle w:val="Index2"/>
        <w:tabs>
          <w:tab w:val="right" w:leader="dot" w:pos="4105"/>
        </w:tabs>
        <w:rPr>
          <w:noProof/>
        </w:rPr>
      </w:pPr>
      <w:r>
        <w:rPr>
          <w:noProof/>
        </w:rPr>
        <w:t>discrimination, 2</w:t>
      </w:r>
    </w:p>
    <w:p w:rsidR="00C30A24" w:rsidRDefault="00C30A24">
      <w:pPr>
        <w:pStyle w:val="Index2"/>
        <w:tabs>
          <w:tab w:val="right" w:leader="dot" w:pos="4105"/>
        </w:tabs>
        <w:rPr>
          <w:noProof/>
        </w:rPr>
      </w:pPr>
      <w:r>
        <w:rPr>
          <w:noProof/>
        </w:rPr>
        <w:t>economically inactive citizens, 5</w:t>
      </w:r>
    </w:p>
    <w:p w:rsidR="00C30A24" w:rsidRDefault="00C30A24">
      <w:pPr>
        <w:pStyle w:val="Index2"/>
        <w:tabs>
          <w:tab w:val="right" w:leader="dot" w:pos="4105"/>
        </w:tabs>
        <w:rPr>
          <w:noProof/>
        </w:rPr>
      </w:pPr>
      <w:r>
        <w:rPr>
          <w:noProof/>
        </w:rPr>
        <w:t>equal treatment, 5</w:t>
      </w:r>
    </w:p>
    <w:p w:rsidR="00C30A24" w:rsidRDefault="00C30A24">
      <w:pPr>
        <w:pStyle w:val="Index2"/>
        <w:tabs>
          <w:tab w:val="right" w:leader="dot" w:pos="4105"/>
        </w:tabs>
        <w:rPr>
          <w:noProof/>
        </w:rPr>
      </w:pPr>
      <w:r>
        <w:rPr>
          <w:noProof/>
        </w:rPr>
        <w:t>EU citizens living in the UK, 5</w:t>
      </w:r>
    </w:p>
    <w:p w:rsidR="00C30A24" w:rsidRDefault="00C30A24">
      <w:pPr>
        <w:pStyle w:val="Index2"/>
        <w:tabs>
          <w:tab w:val="right" w:leader="dot" w:pos="4105"/>
        </w:tabs>
        <w:rPr>
          <w:noProof/>
        </w:rPr>
      </w:pPr>
      <w:r>
        <w:rPr>
          <w:noProof/>
        </w:rPr>
        <w:t>European Health Insurance Card (EHIC) scheme, 5</w:t>
      </w:r>
    </w:p>
    <w:p w:rsidR="00C30A24" w:rsidRDefault="00C30A24">
      <w:pPr>
        <w:pStyle w:val="Index2"/>
        <w:tabs>
          <w:tab w:val="right" w:leader="dot" w:pos="4105"/>
        </w:tabs>
        <w:rPr>
          <w:noProof/>
        </w:rPr>
      </w:pPr>
      <w:r>
        <w:rPr>
          <w:noProof/>
        </w:rPr>
        <w:t>evidential flexibility, 3</w:t>
      </w:r>
    </w:p>
    <w:p w:rsidR="00C30A24" w:rsidRDefault="00C30A24">
      <w:pPr>
        <w:pStyle w:val="Index2"/>
        <w:tabs>
          <w:tab w:val="right" w:leader="dot" w:pos="4105"/>
        </w:tabs>
        <w:rPr>
          <w:noProof/>
        </w:rPr>
      </w:pPr>
      <w:r>
        <w:rPr>
          <w:noProof/>
        </w:rPr>
        <w:t>family members, 2</w:t>
      </w:r>
    </w:p>
    <w:p w:rsidR="00C30A24" w:rsidRDefault="00C30A24">
      <w:pPr>
        <w:pStyle w:val="Index2"/>
        <w:tabs>
          <w:tab w:val="right" w:leader="dot" w:pos="4105"/>
        </w:tabs>
        <w:rPr>
          <w:noProof/>
        </w:rPr>
      </w:pPr>
      <w:r>
        <w:rPr>
          <w:noProof/>
        </w:rPr>
        <w:t>fraudulent or abusive applications, 3</w:t>
      </w:r>
    </w:p>
    <w:p w:rsidR="00C30A24" w:rsidRDefault="00C30A24">
      <w:pPr>
        <w:pStyle w:val="Index2"/>
        <w:tabs>
          <w:tab w:val="right" w:leader="dot" w:pos="4105"/>
        </w:tabs>
        <w:rPr>
          <w:noProof/>
        </w:rPr>
      </w:pPr>
      <w:r>
        <w:rPr>
          <w:noProof/>
        </w:rPr>
        <w:t>healthcare, 5</w:t>
      </w:r>
    </w:p>
    <w:p w:rsidR="00C30A24" w:rsidRDefault="00C30A24">
      <w:pPr>
        <w:pStyle w:val="Index2"/>
        <w:tabs>
          <w:tab w:val="right" w:leader="dot" w:pos="4105"/>
        </w:tabs>
        <w:rPr>
          <w:noProof/>
        </w:rPr>
      </w:pPr>
      <w:r>
        <w:rPr>
          <w:noProof/>
        </w:rPr>
        <w:t>incompatible rules, 5</w:t>
      </w:r>
    </w:p>
    <w:p w:rsidR="00C30A24" w:rsidRDefault="00C30A24">
      <w:pPr>
        <w:pStyle w:val="Index2"/>
        <w:tabs>
          <w:tab w:val="right" w:leader="dot" w:pos="4105"/>
        </w:tabs>
        <w:rPr>
          <w:noProof/>
        </w:rPr>
      </w:pPr>
      <w:r>
        <w:rPr>
          <w:noProof/>
        </w:rPr>
        <w:t>inconsistent rules, 5</w:t>
      </w:r>
    </w:p>
    <w:p w:rsidR="00C30A24" w:rsidRDefault="00C30A24">
      <w:pPr>
        <w:pStyle w:val="Index2"/>
        <w:tabs>
          <w:tab w:val="right" w:leader="dot" w:pos="4105"/>
        </w:tabs>
        <w:rPr>
          <w:noProof/>
        </w:rPr>
      </w:pPr>
      <w:r>
        <w:rPr>
          <w:noProof/>
        </w:rPr>
        <w:t>lawyers, 5</w:t>
      </w:r>
    </w:p>
    <w:p w:rsidR="00C30A24" w:rsidRDefault="00C30A24">
      <w:pPr>
        <w:pStyle w:val="Index2"/>
        <w:tabs>
          <w:tab w:val="right" w:leader="dot" w:pos="4105"/>
        </w:tabs>
        <w:rPr>
          <w:noProof/>
        </w:rPr>
      </w:pPr>
      <w:r>
        <w:rPr>
          <w:noProof/>
        </w:rPr>
        <w:t>national provisions, 4</w:t>
      </w:r>
    </w:p>
    <w:p w:rsidR="00C30A24" w:rsidRDefault="00C30A24">
      <w:pPr>
        <w:pStyle w:val="Index2"/>
        <w:tabs>
          <w:tab w:val="right" w:leader="dot" w:pos="4105"/>
        </w:tabs>
        <w:rPr>
          <w:noProof/>
        </w:rPr>
      </w:pPr>
      <w:r>
        <w:rPr>
          <w:noProof/>
        </w:rPr>
        <w:t>parents, 2</w:t>
      </w:r>
    </w:p>
    <w:p w:rsidR="00C30A24" w:rsidRDefault="00C30A24">
      <w:pPr>
        <w:pStyle w:val="Index2"/>
        <w:tabs>
          <w:tab w:val="right" w:leader="dot" w:pos="4105"/>
        </w:tabs>
        <w:rPr>
          <w:noProof/>
        </w:rPr>
      </w:pPr>
      <w:r>
        <w:rPr>
          <w:noProof/>
        </w:rPr>
        <w:t>partners, 2</w:t>
      </w:r>
    </w:p>
    <w:p w:rsidR="00C30A24" w:rsidRDefault="00C30A24">
      <w:pPr>
        <w:pStyle w:val="Index2"/>
        <w:tabs>
          <w:tab w:val="right" w:leader="dot" w:pos="4105"/>
        </w:tabs>
        <w:rPr>
          <w:noProof/>
        </w:rPr>
      </w:pPr>
      <w:r>
        <w:rPr>
          <w:noProof/>
        </w:rPr>
        <w:t>rejection, 3</w:t>
      </w:r>
    </w:p>
    <w:p w:rsidR="00C30A24" w:rsidRDefault="00C30A24">
      <w:pPr>
        <w:pStyle w:val="Index2"/>
        <w:tabs>
          <w:tab w:val="right" w:leader="dot" w:pos="4105"/>
        </w:tabs>
        <w:rPr>
          <w:noProof/>
        </w:rPr>
      </w:pPr>
      <w:r>
        <w:rPr>
          <w:noProof/>
        </w:rPr>
        <w:t>residence, 4</w:t>
      </w:r>
    </w:p>
    <w:p w:rsidR="00C30A24" w:rsidRDefault="00C30A24">
      <w:pPr>
        <w:pStyle w:val="Index2"/>
        <w:tabs>
          <w:tab w:val="right" w:leader="dot" w:pos="4105"/>
        </w:tabs>
        <w:rPr>
          <w:noProof/>
        </w:rPr>
      </w:pPr>
      <w:r>
        <w:rPr>
          <w:noProof/>
        </w:rPr>
        <w:t>residence document, 3, 4</w:t>
      </w:r>
    </w:p>
    <w:p w:rsidR="00C30A24" w:rsidRDefault="00C30A24">
      <w:pPr>
        <w:pStyle w:val="Index2"/>
        <w:tabs>
          <w:tab w:val="right" w:leader="dot" w:pos="4105"/>
        </w:tabs>
        <w:rPr>
          <w:noProof/>
        </w:rPr>
      </w:pPr>
      <w:r>
        <w:rPr>
          <w:noProof/>
        </w:rPr>
        <w:t>restrictions</w:t>
      </w:r>
    </w:p>
    <w:p w:rsidR="00C30A24" w:rsidRDefault="00C30A24">
      <w:pPr>
        <w:pStyle w:val="Index3"/>
        <w:tabs>
          <w:tab w:val="right" w:leader="dot" w:pos="4105"/>
        </w:tabs>
        <w:rPr>
          <w:noProof/>
        </w:rPr>
      </w:pPr>
      <w:r>
        <w:rPr>
          <w:noProof/>
        </w:rPr>
        <w:t>public policy, 4</w:t>
      </w:r>
    </w:p>
    <w:p w:rsidR="00C30A24" w:rsidRDefault="00C30A24">
      <w:pPr>
        <w:pStyle w:val="Index3"/>
        <w:tabs>
          <w:tab w:val="right" w:leader="dot" w:pos="4105"/>
        </w:tabs>
        <w:rPr>
          <w:noProof/>
        </w:rPr>
      </w:pPr>
      <w:r>
        <w:rPr>
          <w:noProof/>
        </w:rPr>
        <w:t>security, 4</w:t>
      </w:r>
    </w:p>
    <w:p w:rsidR="00C30A24" w:rsidRDefault="00C30A24">
      <w:pPr>
        <w:pStyle w:val="Index2"/>
        <w:tabs>
          <w:tab w:val="right" w:leader="dot" w:pos="4105"/>
        </w:tabs>
        <w:rPr>
          <w:noProof/>
        </w:rPr>
      </w:pPr>
      <w:r>
        <w:rPr>
          <w:noProof/>
        </w:rPr>
        <w:t>safeguards, 4</w:t>
      </w:r>
    </w:p>
    <w:p w:rsidR="00C30A24" w:rsidRDefault="00C30A24">
      <w:pPr>
        <w:pStyle w:val="Index2"/>
        <w:tabs>
          <w:tab w:val="right" w:leader="dot" w:pos="4105"/>
        </w:tabs>
        <w:rPr>
          <w:noProof/>
        </w:rPr>
      </w:pPr>
      <w:r>
        <w:rPr>
          <w:noProof/>
        </w:rPr>
        <w:t>self-employed, 5</w:t>
      </w:r>
    </w:p>
    <w:p w:rsidR="00C30A24" w:rsidRDefault="00C30A24">
      <w:pPr>
        <w:pStyle w:val="Index2"/>
        <w:tabs>
          <w:tab w:val="right" w:leader="dot" w:pos="4105"/>
        </w:tabs>
        <w:rPr>
          <w:noProof/>
        </w:rPr>
      </w:pPr>
      <w:r>
        <w:rPr>
          <w:noProof/>
        </w:rPr>
        <w:t>social security</w:t>
      </w:r>
    </w:p>
    <w:p w:rsidR="00C30A24" w:rsidRDefault="00C30A24">
      <w:pPr>
        <w:pStyle w:val="Index3"/>
        <w:tabs>
          <w:tab w:val="right" w:leader="dot" w:pos="4105"/>
        </w:tabs>
        <w:rPr>
          <w:noProof/>
        </w:rPr>
      </w:pPr>
      <w:r>
        <w:rPr>
          <w:noProof/>
        </w:rPr>
        <w:t>coordination rules, 4</w:t>
      </w:r>
    </w:p>
    <w:p w:rsidR="00C30A24" w:rsidRDefault="00C30A24">
      <w:pPr>
        <w:pStyle w:val="Index3"/>
        <w:tabs>
          <w:tab w:val="right" w:leader="dot" w:pos="4105"/>
        </w:tabs>
        <w:rPr>
          <w:noProof/>
        </w:rPr>
      </w:pPr>
      <w:r>
        <w:rPr>
          <w:noProof/>
        </w:rPr>
        <w:t>insurance, 5</w:t>
      </w:r>
    </w:p>
    <w:p w:rsidR="00C30A24" w:rsidRDefault="00C30A24">
      <w:pPr>
        <w:pStyle w:val="Index2"/>
        <w:tabs>
          <w:tab w:val="right" w:leader="dot" w:pos="4105"/>
        </w:tabs>
        <w:rPr>
          <w:noProof/>
        </w:rPr>
      </w:pPr>
      <w:r>
        <w:rPr>
          <w:noProof/>
        </w:rPr>
        <w:t>students, 5</w:t>
      </w:r>
    </w:p>
    <w:p w:rsidR="00C30A24" w:rsidRDefault="00C30A24">
      <w:pPr>
        <w:pStyle w:val="Index2"/>
        <w:tabs>
          <w:tab w:val="right" w:leader="dot" w:pos="4105"/>
        </w:tabs>
        <w:rPr>
          <w:noProof/>
        </w:rPr>
      </w:pPr>
      <w:r>
        <w:rPr>
          <w:noProof/>
        </w:rPr>
        <w:lastRenderedPageBreak/>
        <w:t>UK citizens living in the EU, 5</w:t>
      </w:r>
    </w:p>
    <w:p w:rsidR="00C30A24" w:rsidRDefault="00C30A24">
      <w:pPr>
        <w:pStyle w:val="Index2"/>
        <w:tabs>
          <w:tab w:val="right" w:leader="dot" w:pos="4105"/>
        </w:tabs>
        <w:rPr>
          <w:noProof/>
        </w:rPr>
      </w:pPr>
      <w:r>
        <w:rPr>
          <w:noProof/>
        </w:rPr>
        <w:t>workers, 5</w:t>
      </w:r>
    </w:p>
    <w:p w:rsidR="00C30A24" w:rsidRDefault="00C30A24">
      <w:pPr>
        <w:pStyle w:val="Index1"/>
        <w:tabs>
          <w:tab w:val="right" w:leader="dot" w:pos="4105"/>
        </w:tabs>
        <w:rPr>
          <w:noProof/>
        </w:rPr>
      </w:pPr>
      <w:r>
        <w:rPr>
          <w:noProof/>
        </w:rPr>
        <w:t>Court of Justice of the European Union (CJEU), 2</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D</w:t>
      </w:r>
    </w:p>
    <w:p w:rsidR="00C30A24" w:rsidRDefault="00C30A24">
      <w:pPr>
        <w:pStyle w:val="Index1"/>
        <w:tabs>
          <w:tab w:val="right" w:leader="dot" w:pos="4105"/>
        </w:tabs>
        <w:rPr>
          <w:noProof/>
        </w:rPr>
      </w:pPr>
      <w:r>
        <w:rPr>
          <w:noProof/>
        </w:rPr>
        <w:t>Directive</w:t>
      </w:r>
      <w:r w:rsidRPr="00AB71EC">
        <w:rPr>
          <w:noProof/>
          <w:spacing w:val="-5"/>
        </w:rPr>
        <w:t xml:space="preserve"> </w:t>
      </w:r>
      <w:r>
        <w:rPr>
          <w:noProof/>
        </w:rPr>
        <w:t>2004/38, 3</w:t>
      </w:r>
    </w:p>
    <w:p w:rsidR="00C30A24" w:rsidRDefault="00C30A24">
      <w:pPr>
        <w:pStyle w:val="Index1"/>
        <w:tabs>
          <w:tab w:val="right" w:leader="dot" w:pos="4105"/>
        </w:tabs>
        <w:rPr>
          <w:noProof/>
        </w:rPr>
      </w:pPr>
      <w:r>
        <w:rPr>
          <w:noProof/>
        </w:rPr>
        <w:t>Directive 2004/38/EC, 2, 3, 4</w:t>
      </w:r>
    </w:p>
    <w:p w:rsidR="00C30A24" w:rsidRDefault="00C30A24">
      <w:pPr>
        <w:pStyle w:val="Index1"/>
        <w:tabs>
          <w:tab w:val="right" w:leader="dot" w:pos="4105"/>
        </w:tabs>
        <w:rPr>
          <w:noProof/>
        </w:rPr>
      </w:pPr>
      <w:r>
        <w:rPr>
          <w:noProof/>
        </w:rPr>
        <w:t>Directive 2005/36/EC, 5</w:t>
      </w:r>
    </w:p>
    <w:p w:rsidR="00C30A24" w:rsidRDefault="00C30A24">
      <w:pPr>
        <w:pStyle w:val="Index1"/>
        <w:tabs>
          <w:tab w:val="right" w:leader="dot" w:pos="4105"/>
        </w:tabs>
        <w:rPr>
          <w:noProof/>
        </w:rPr>
      </w:pPr>
      <w:r>
        <w:rPr>
          <w:noProof/>
        </w:rPr>
        <w:t>Directive 2006/43/EC, 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E</w:t>
      </w:r>
    </w:p>
    <w:p w:rsidR="00C30A24" w:rsidRDefault="00C30A24">
      <w:pPr>
        <w:pStyle w:val="Index1"/>
        <w:tabs>
          <w:tab w:val="right" w:leader="dot" w:pos="4105"/>
        </w:tabs>
        <w:rPr>
          <w:noProof/>
        </w:rPr>
      </w:pPr>
      <w:r>
        <w:rPr>
          <w:noProof/>
        </w:rPr>
        <w:t>EC No 987/2009, 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R</w:t>
      </w:r>
    </w:p>
    <w:p w:rsidR="00C30A24" w:rsidRDefault="00C30A24">
      <w:pPr>
        <w:pStyle w:val="Index1"/>
        <w:tabs>
          <w:tab w:val="right" w:leader="dot" w:pos="4105"/>
        </w:tabs>
        <w:rPr>
          <w:noProof/>
        </w:rPr>
      </w:pPr>
      <w:r>
        <w:rPr>
          <w:noProof/>
        </w:rPr>
        <w:t>Regulation (EC) No 883/2004, 5</w:t>
      </w:r>
    </w:p>
    <w:p w:rsidR="00C30A24" w:rsidRDefault="00C30A24">
      <w:pPr>
        <w:pStyle w:val="Index1"/>
        <w:tabs>
          <w:tab w:val="right" w:leader="dot" w:pos="4105"/>
        </w:tabs>
        <w:rPr>
          <w:noProof/>
        </w:rPr>
      </w:pPr>
      <w:r>
        <w:rPr>
          <w:noProof/>
        </w:rPr>
        <w:t>Regulations (EC) No 883/2004, 4, 5</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S</w:t>
      </w:r>
    </w:p>
    <w:p w:rsidR="00C30A24" w:rsidRDefault="00C30A24">
      <w:pPr>
        <w:pStyle w:val="Index1"/>
        <w:tabs>
          <w:tab w:val="right" w:leader="dot" w:pos="4105"/>
        </w:tabs>
        <w:rPr>
          <w:noProof/>
        </w:rPr>
      </w:pPr>
      <w:r>
        <w:rPr>
          <w:noProof/>
        </w:rPr>
        <w:t>specified date, 1</w:t>
      </w:r>
    </w:p>
    <w:p w:rsidR="00C30A24" w:rsidRDefault="00C30A24">
      <w:pPr>
        <w:pStyle w:val="Index2"/>
        <w:tabs>
          <w:tab w:val="right" w:leader="dot" w:pos="4105"/>
        </w:tabs>
        <w:rPr>
          <w:noProof/>
        </w:rPr>
      </w:pPr>
      <w:r>
        <w:rPr>
          <w:noProof/>
        </w:rPr>
        <w:t>children, 2</w:t>
      </w:r>
    </w:p>
    <w:p w:rsidR="00C30A24" w:rsidRDefault="00C30A24">
      <w:pPr>
        <w:pStyle w:val="Index2"/>
        <w:tabs>
          <w:tab w:val="right" w:leader="dot" w:pos="4105"/>
        </w:tabs>
        <w:rPr>
          <w:noProof/>
        </w:rPr>
      </w:pPr>
      <w:r>
        <w:rPr>
          <w:noProof/>
        </w:rPr>
        <w:t>citizens, 2</w:t>
      </w:r>
    </w:p>
    <w:p w:rsidR="00C30A24" w:rsidRDefault="00C30A24">
      <w:pPr>
        <w:pStyle w:val="Index2"/>
        <w:tabs>
          <w:tab w:val="right" w:leader="dot" w:pos="4105"/>
        </w:tabs>
        <w:rPr>
          <w:noProof/>
        </w:rPr>
      </w:pPr>
      <w:r>
        <w:rPr>
          <w:noProof/>
        </w:rPr>
        <w:t>citizens’ rights, 1, 2, 6</w:t>
      </w:r>
    </w:p>
    <w:p w:rsidR="00C30A24" w:rsidRDefault="00C30A24">
      <w:pPr>
        <w:pStyle w:val="Index2"/>
        <w:tabs>
          <w:tab w:val="right" w:leader="dot" w:pos="4105"/>
        </w:tabs>
        <w:rPr>
          <w:noProof/>
        </w:rPr>
      </w:pPr>
      <w:r>
        <w:rPr>
          <w:noProof/>
        </w:rPr>
        <w:t>family members, 2</w:t>
      </w:r>
    </w:p>
    <w:p w:rsidR="00C30A24" w:rsidRDefault="00C30A24">
      <w:pPr>
        <w:pStyle w:val="Index2"/>
        <w:tabs>
          <w:tab w:val="right" w:leader="dot" w:pos="4105"/>
        </w:tabs>
        <w:rPr>
          <w:noProof/>
        </w:rPr>
      </w:pPr>
      <w:r>
        <w:rPr>
          <w:noProof/>
        </w:rPr>
        <w:t>frontier workers, 2</w:t>
      </w:r>
    </w:p>
    <w:p w:rsidR="00C30A24" w:rsidRDefault="00C30A24">
      <w:pPr>
        <w:pStyle w:val="Index2"/>
        <w:tabs>
          <w:tab w:val="right" w:leader="dot" w:pos="4105"/>
        </w:tabs>
        <w:rPr>
          <w:noProof/>
        </w:rPr>
      </w:pPr>
      <w:r>
        <w:rPr>
          <w:noProof/>
        </w:rPr>
        <w:t>healthcare, 5</w:t>
      </w:r>
    </w:p>
    <w:p w:rsidR="00C30A24" w:rsidRDefault="00C30A24">
      <w:pPr>
        <w:pStyle w:val="Index2"/>
        <w:tabs>
          <w:tab w:val="right" w:leader="dot" w:pos="4105"/>
        </w:tabs>
        <w:rPr>
          <w:noProof/>
        </w:rPr>
      </w:pPr>
      <w:r>
        <w:rPr>
          <w:noProof/>
        </w:rPr>
        <w:t>partners, 2</w:t>
      </w:r>
    </w:p>
    <w:p w:rsidR="00C30A24" w:rsidRDefault="00C30A24">
      <w:pPr>
        <w:pStyle w:val="Index2"/>
        <w:tabs>
          <w:tab w:val="right" w:leader="dot" w:pos="4105"/>
        </w:tabs>
        <w:rPr>
          <w:noProof/>
        </w:rPr>
      </w:pPr>
      <w:r>
        <w:rPr>
          <w:noProof/>
        </w:rPr>
        <w:t>qualifications, 5</w:t>
      </w:r>
    </w:p>
    <w:p w:rsidR="00C30A24" w:rsidRDefault="00C30A24">
      <w:pPr>
        <w:pStyle w:val="Index2"/>
        <w:tabs>
          <w:tab w:val="right" w:leader="dot" w:pos="4105"/>
        </w:tabs>
        <w:rPr>
          <w:noProof/>
        </w:rPr>
      </w:pPr>
      <w:r>
        <w:rPr>
          <w:noProof/>
        </w:rPr>
        <w:t>residence, 4</w:t>
      </w:r>
    </w:p>
    <w:p w:rsidR="00C30A24" w:rsidRDefault="00C30A24">
      <w:pPr>
        <w:pStyle w:val="Index2"/>
        <w:tabs>
          <w:tab w:val="right" w:leader="dot" w:pos="4105"/>
        </w:tabs>
        <w:rPr>
          <w:noProof/>
        </w:rPr>
      </w:pPr>
      <w:r>
        <w:rPr>
          <w:noProof/>
        </w:rPr>
        <w:t>residence document, 4</w:t>
      </w:r>
    </w:p>
    <w:p w:rsidR="00C30A24" w:rsidRDefault="00C30A24">
      <w:pPr>
        <w:pStyle w:val="Index2"/>
        <w:tabs>
          <w:tab w:val="right" w:leader="dot" w:pos="4105"/>
        </w:tabs>
        <w:rPr>
          <w:noProof/>
        </w:rPr>
      </w:pPr>
      <w:r>
        <w:rPr>
          <w:noProof/>
        </w:rPr>
        <w:t>restrictions, 4</w:t>
      </w:r>
    </w:p>
    <w:p w:rsidR="00C30A24" w:rsidRDefault="00C30A24">
      <w:pPr>
        <w:pStyle w:val="Index2"/>
        <w:tabs>
          <w:tab w:val="right" w:leader="dot" w:pos="4105"/>
        </w:tabs>
        <w:rPr>
          <w:noProof/>
        </w:rPr>
      </w:pPr>
      <w:r>
        <w:rPr>
          <w:noProof/>
        </w:rPr>
        <w:t>social security coordination, 4</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T</w:t>
      </w:r>
    </w:p>
    <w:p w:rsidR="00C30A24" w:rsidRDefault="00C30A24">
      <w:pPr>
        <w:pStyle w:val="Index1"/>
        <w:tabs>
          <w:tab w:val="right" w:leader="dot" w:pos="4105"/>
        </w:tabs>
        <w:rPr>
          <w:noProof/>
        </w:rPr>
      </w:pPr>
      <w:r>
        <w:rPr>
          <w:noProof/>
        </w:rPr>
        <w:t xml:space="preserve">time of withdrawal. </w:t>
      </w:r>
      <w:r w:rsidRPr="00AB71EC">
        <w:rPr>
          <w:rFonts w:cstheme="minorHAnsi"/>
          <w:i/>
          <w:noProof/>
        </w:rPr>
        <w:t xml:space="preserve">see </w:t>
      </w:r>
      <w:r w:rsidRPr="00AB71EC">
        <w:rPr>
          <w:rFonts w:cstheme="minorHAnsi"/>
          <w:noProof/>
        </w:rPr>
        <w:t>specified date</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U</w:t>
      </w:r>
    </w:p>
    <w:p w:rsidR="00C30A24" w:rsidRDefault="00C30A24">
      <w:pPr>
        <w:pStyle w:val="Index1"/>
        <w:tabs>
          <w:tab w:val="right" w:leader="dot" w:pos="4105"/>
        </w:tabs>
        <w:rPr>
          <w:noProof/>
        </w:rPr>
      </w:pPr>
      <w:r>
        <w:rPr>
          <w:noProof/>
        </w:rPr>
        <w:t>UK Courts and the CJEU, 6</w:t>
      </w:r>
    </w:p>
    <w:p w:rsidR="00C30A24" w:rsidRDefault="00C30A24">
      <w:pPr>
        <w:pStyle w:val="Index2"/>
        <w:tabs>
          <w:tab w:val="right" w:leader="dot" w:pos="4105"/>
        </w:tabs>
        <w:rPr>
          <w:noProof/>
        </w:rPr>
      </w:pPr>
      <w:r>
        <w:rPr>
          <w:noProof/>
        </w:rPr>
        <w:t>intervention, 6</w:t>
      </w:r>
    </w:p>
    <w:p w:rsidR="00C30A24" w:rsidRDefault="00C30A24">
      <w:pPr>
        <w:pStyle w:val="IndexHeading"/>
        <w:keepNext/>
        <w:tabs>
          <w:tab w:val="right" w:leader="dot" w:pos="4105"/>
        </w:tabs>
        <w:rPr>
          <w:rFonts w:asciiTheme="minorHAnsi" w:eastAsiaTheme="minorEastAsia" w:hAnsiTheme="minorHAnsi" w:cstheme="minorBidi"/>
          <w:b w:val="0"/>
          <w:bCs w:val="0"/>
          <w:noProof/>
        </w:rPr>
      </w:pPr>
      <w:r>
        <w:rPr>
          <w:noProof/>
        </w:rPr>
        <w:t>W</w:t>
      </w:r>
    </w:p>
    <w:p w:rsidR="00C30A24" w:rsidRDefault="00C30A24">
      <w:pPr>
        <w:pStyle w:val="Index1"/>
        <w:tabs>
          <w:tab w:val="right" w:leader="dot" w:pos="4105"/>
        </w:tabs>
        <w:rPr>
          <w:noProof/>
        </w:rPr>
      </w:pPr>
      <w:r>
        <w:rPr>
          <w:noProof/>
        </w:rPr>
        <w:t>Withdrawal Agreement &amp; Implementation Bill, 5, 6</w:t>
      </w:r>
    </w:p>
    <w:p w:rsidR="00C30A24" w:rsidRDefault="00C30A24" w:rsidP="00B0304D">
      <w:pPr>
        <w:rPr>
          <w:noProof/>
        </w:rPr>
        <w:sectPr w:rsidR="00C30A24" w:rsidSect="00C30A24">
          <w:type w:val="continuous"/>
          <w:pgSz w:w="11910" w:h="16840"/>
          <w:pgMar w:top="1320" w:right="1300" w:bottom="1240" w:left="1660" w:header="0" w:footer="1044" w:gutter="0"/>
          <w:cols w:num="2" w:space="720"/>
        </w:sectPr>
      </w:pPr>
    </w:p>
    <w:p w:rsidR="00B0304D" w:rsidRPr="00B0304D" w:rsidRDefault="00C30A24" w:rsidP="00B0304D">
      <w:pPr>
        <w:rPr>
          <w:sz w:val="24"/>
          <w:szCs w:val="24"/>
        </w:rPr>
      </w:pPr>
      <w:r>
        <w:lastRenderedPageBreak/>
        <w:fldChar w:fldCharType="end"/>
      </w:r>
    </w:p>
    <w:p w:rsidR="00B0304D" w:rsidRPr="00B0304D" w:rsidRDefault="00B0304D" w:rsidP="00D528AE">
      <w:pPr>
        <w:rPr>
          <w:sz w:val="24"/>
          <w:szCs w:val="24"/>
        </w:rPr>
      </w:pPr>
    </w:p>
    <w:sectPr w:rsidR="00B0304D" w:rsidRPr="00B0304D" w:rsidSect="00C30A24">
      <w:type w:val="continuous"/>
      <w:pgSz w:w="11910" w:h="16840"/>
      <w:pgMar w:top="1320" w:right="1300" w:bottom="1240" w:left="1660" w:header="0" w:footer="10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82" w:rsidRDefault="00B43482" w:rsidP="00AE6D8C">
      <w:r>
        <w:separator/>
      </w:r>
    </w:p>
  </w:endnote>
  <w:endnote w:type="continuationSeparator" w:id="0">
    <w:p w:rsidR="00B43482" w:rsidRDefault="00B43482" w:rsidP="00AE6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DD" w:rsidRDefault="00B8787A">
    <w:pPr>
      <w:pStyle w:val="BodyText"/>
      <w:spacing w:line="14" w:lineRule="auto"/>
      <w:rPr>
        <w:sz w:val="20"/>
      </w:rPr>
    </w:pPr>
    <w:r w:rsidRPr="00B8787A">
      <w:pict>
        <v:shapetype id="_x0000_t202" coordsize="21600,21600" o:spt="202" path="m,l,21600r21600,l21600,xe">
          <v:stroke joinstyle="miter"/>
          <v:path gradientshapeok="t" o:connecttype="rect"/>
        </v:shapetype>
        <v:shape id="_x0000_s1025" type="#_x0000_t202" style="position:absolute;margin-left:265.7pt;margin-top:778.7pt;width:63.95pt;height:15.3pt;z-index:-251658752;mso-position-horizontal-relative:page;mso-position-vertical-relative:page" filled="f" stroked="f">
          <v:textbox inset="0,0,0,0">
            <w:txbxContent>
              <w:p w:rsidR="00502BDD" w:rsidRDefault="00502BDD">
                <w:pPr>
                  <w:spacing w:before="10"/>
                  <w:ind w:left="20"/>
                  <w:rPr>
                    <w:b/>
                    <w:sz w:val="24"/>
                  </w:rPr>
                </w:pPr>
                <w:r>
                  <w:t xml:space="preserve">Page </w:t>
                </w:r>
                <w:r w:rsidR="00B8787A">
                  <w:fldChar w:fldCharType="begin"/>
                </w:r>
                <w:r>
                  <w:rPr>
                    <w:b/>
                  </w:rPr>
                  <w:instrText xml:space="preserve"> PAGE </w:instrText>
                </w:r>
                <w:r w:rsidR="00B8787A">
                  <w:fldChar w:fldCharType="separate"/>
                </w:r>
                <w:r w:rsidR="00C30A24">
                  <w:rPr>
                    <w:b/>
                    <w:noProof/>
                  </w:rPr>
                  <w:t>17</w:t>
                </w:r>
                <w:r w:rsidR="00B8787A">
                  <w:fldChar w:fldCharType="end"/>
                </w:r>
                <w:r>
                  <w:rPr>
                    <w:b/>
                  </w:rPr>
                  <w:t xml:space="preserve"> </w:t>
                </w:r>
                <w:r>
                  <w:t xml:space="preserve">of </w:t>
                </w:r>
                <w:r>
                  <w:rPr>
                    <w:b/>
                    <w:sz w:val="24"/>
                  </w:rPr>
                  <w:t>15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82" w:rsidRDefault="00B43482" w:rsidP="00AE6D8C">
      <w:r>
        <w:separator/>
      </w:r>
    </w:p>
  </w:footnote>
  <w:footnote w:type="continuationSeparator" w:id="0">
    <w:p w:rsidR="00B43482" w:rsidRDefault="00B43482" w:rsidP="00AE6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01037"/>
    <w:multiLevelType w:val="hybridMultilevel"/>
    <w:tmpl w:val="7F881B88"/>
    <w:lvl w:ilvl="0" w:tplc="97681A1C">
      <w:start w:val="1"/>
      <w:numFmt w:val="decimal"/>
      <w:lvlText w:val="%1."/>
      <w:lvlJc w:val="left"/>
      <w:pPr>
        <w:ind w:left="836" w:hanging="360"/>
        <w:jc w:val="right"/>
      </w:pPr>
      <w:rPr>
        <w:rFonts w:ascii="Times New Roman" w:eastAsia="Times New Roman" w:hAnsi="Times New Roman" w:cs="Times New Roman" w:hint="default"/>
        <w:spacing w:val="-29"/>
        <w:w w:val="99"/>
        <w:sz w:val="24"/>
        <w:szCs w:val="24"/>
      </w:rPr>
    </w:lvl>
    <w:lvl w:ilvl="1" w:tplc="EEAE24DE">
      <w:start w:val="1"/>
      <w:numFmt w:val="lowerLetter"/>
      <w:lvlText w:val="%2."/>
      <w:lvlJc w:val="left"/>
      <w:pPr>
        <w:ind w:left="1556" w:hanging="360"/>
        <w:jc w:val="left"/>
      </w:pPr>
      <w:rPr>
        <w:rFonts w:ascii="Times New Roman" w:eastAsia="Times New Roman" w:hAnsi="Times New Roman" w:cs="Times New Roman" w:hint="default"/>
        <w:spacing w:val="-3"/>
        <w:w w:val="99"/>
        <w:sz w:val="24"/>
        <w:szCs w:val="24"/>
      </w:rPr>
    </w:lvl>
    <w:lvl w:ilvl="2" w:tplc="DDA6BF54">
      <w:start w:val="1"/>
      <w:numFmt w:val="lowerRoman"/>
      <w:lvlText w:val="%3."/>
      <w:lvlJc w:val="left"/>
      <w:pPr>
        <w:ind w:left="1916" w:hanging="308"/>
        <w:jc w:val="right"/>
      </w:pPr>
      <w:rPr>
        <w:rFonts w:ascii="Times New Roman" w:eastAsia="Times New Roman" w:hAnsi="Times New Roman" w:cs="Times New Roman" w:hint="default"/>
        <w:spacing w:val="-26"/>
        <w:w w:val="99"/>
        <w:sz w:val="24"/>
        <w:szCs w:val="24"/>
      </w:rPr>
    </w:lvl>
    <w:lvl w:ilvl="3" w:tplc="862CCA64">
      <w:numFmt w:val="bullet"/>
      <w:lvlText w:val="•"/>
      <w:lvlJc w:val="left"/>
      <w:pPr>
        <w:ind w:left="1920" w:hanging="308"/>
      </w:pPr>
      <w:rPr>
        <w:rFonts w:hint="default"/>
      </w:rPr>
    </w:lvl>
    <w:lvl w:ilvl="4" w:tplc="0B46F896">
      <w:numFmt w:val="bullet"/>
      <w:lvlText w:val="•"/>
      <w:lvlJc w:val="left"/>
      <w:pPr>
        <w:ind w:left="2923" w:hanging="308"/>
      </w:pPr>
      <w:rPr>
        <w:rFonts w:hint="default"/>
      </w:rPr>
    </w:lvl>
    <w:lvl w:ilvl="5" w:tplc="5DE45A34">
      <w:numFmt w:val="bullet"/>
      <w:lvlText w:val="•"/>
      <w:lvlJc w:val="left"/>
      <w:pPr>
        <w:ind w:left="3927" w:hanging="308"/>
      </w:pPr>
      <w:rPr>
        <w:rFonts w:hint="default"/>
      </w:rPr>
    </w:lvl>
    <w:lvl w:ilvl="6" w:tplc="13668DFA">
      <w:numFmt w:val="bullet"/>
      <w:lvlText w:val="•"/>
      <w:lvlJc w:val="left"/>
      <w:pPr>
        <w:ind w:left="4931" w:hanging="308"/>
      </w:pPr>
      <w:rPr>
        <w:rFonts w:hint="default"/>
      </w:rPr>
    </w:lvl>
    <w:lvl w:ilvl="7" w:tplc="10DE975A">
      <w:numFmt w:val="bullet"/>
      <w:lvlText w:val="•"/>
      <w:lvlJc w:val="left"/>
      <w:pPr>
        <w:ind w:left="5935" w:hanging="308"/>
      </w:pPr>
      <w:rPr>
        <w:rFonts w:hint="default"/>
      </w:rPr>
    </w:lvl>
    <w:lvl w:ilvl="8" w:tplc="FE70A072">
      <w:numFmt w:val="bullet"/>
      <w:lvlText w:val="•"/>
      <w:lvlJc w:val="left"/>
      <w:pPr>
        <w:ind w:left="6938" w:hanging="3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ulTrailSpace/>
  </w:compat>
  <w:rsids>
    <w:rsidRoot w:val="00AE6D8C"/>
    <w:rsid w:val="00044903"/>
    <w:rsid w:val="00052642"/>
    <w:rsid w:val="00071820"/>
    <w:rsid w:val="00085661"/>
    <w:rsid w:val="00093AD1"/>
    <w:rsid w:val="000959C7"/>
    <w:rsid w:val="00105F29"/>
    <w:rsid w:val="00156C66"/>
    <w:rsid w:val="001851D7"/>
    <w:rsid w:val="00250C5A"/>
    <w:rsid w:val="002606B9"/>
    <w:rsid w:val="00273F20"/>
    <w:rsid w:val="002E60BA"/>
    <w:rsid w:val="00303B1D"/>
    <w:rsid w:val="003F6371"/>
    <w:rsid w:val="00421C2D"/>
    <w:rsid w:val="004C315A"/>
    <w:rsid w:val="004E618B"/>
    <w:rsid w:val="00502BDD"/>
    <w:rsid w:val="005313CE"/>
    <w:rsid w:val="005554A1"/>
    <w:rsid w:val="005705B7"/>
    <w:rsid w:val="005A4577"/>
    <w:rsid w:val="0062159C"/>
    <w:rsid w:val="0062626B"/>
    <w:rsid w:val="006571B8"/>
    <w:rsid w:val="0066098E"/>
    <w:rsid w:val="006F2796"/>
    <w:rsid w:val="007156E0"/>
    <w:rsid w:val="00727E6B"/>
    <w:rsid w:val="007363B7"/>
    <w:rsid w:val="00763D15"/>
    <w:rsid w:val="00802D0D"/>
    <w:rsid w:val="00803D55"/>
    <w:rsid w:val="008073ED"/>
    <w:rsid w:val="00836182"/>
    <w:rsid w:val="008622B3"/>
    <w:rsid w:val="008940D6"/>
    <w:rsid w:val="00926A26"/>
    <w:rsid w:val="009331FC"/>
    <w:rsid w:val="00957A10"/>
    <w:rsid w:val="009607D0"/>
    <w:rsid w:val="00A12B63"/>
    <w:rsid w:val="00A64F2C"/>
    <w:rsid w:val="00A72BAB"/>
    <w:rsid w:val="00A972B9"/>
    <w:rsid w:val="00AD6C42"/>
    <w:rsid w:val="00AE6D8C"/>
    <w:rsid w:val="00B014F7"/>
    <w:rsid w:val="00B029F0"/>
    <w:rsid w:val="00B0304D"/>
    <w:rsid w:val="00B0351B"/>
    <w:rsid w:val="00B43482"/>
    <w:rsid w:val="00B8787A"/>
    <w:rsid w:val="00B93B25"/>
    <w:rsid w:val="00C073F4"/>
    <w:rsid w:val="00C30A24"/>
    <w:rsid w:val="00C92E35"/>
    <w:rsid w:val="00CB129D"/>
    <w:rsid w:val="00CD619C"/>
    <w:rsid w:val="00CF5C6E"/>
    <w:rsid w:val="00D528AE"/>
    <w:rsid w:val="00D63D4B"/>
    <w:rsid w:val="00DB3864"/>
    <w:rsid w:val="00DC79A5"/>
    <w:rsid w:val="00E201DB"/>
    <w:rsid w:val="00E55D6B"/>
    <w:rsid w:val="00E56235"/>
    <w:rsid w:val="00F018BF"/>
    <w:rsid w:val="00F04BD6"/>
    <w:rsid w:val="00F35CAE"/>
    <w:rsid w:val="00F43FA0"/>
    <w:rsid w:val="00F91B68"/>
    <w:rsid w:val="00FA083F"/>
    <w:rsid w:val="00FA2B28"/>
    <w:rsid w:val="00FA7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6D8C"/>
    <w:rPr>
      <w:rFonts w:ascii="Times New Roman" w:eastAsia="Times New Roman" w:hAnsi="Times New Roman" w:cs="Times New Roman"/>
    </w:rPr>
  </w:style>
  <w:style w:type="paragraph" w:styleId="Heading1">
    <w:name w:val="heading 1"/>
    <w:basedOn w:val="Normal"/>
    <w:uiPriority w:val="1"/>
    <w:qFormat/>
    <w:rsid w:val="00AE6D8C"/>
    <w:pPr>
      <w:ind w:left="116"/>
      <w:outlineLvl w:val="0"/>
    </w:pPr>
    <w:rPr>
      <w:b/>
      <w:bCs/>
      <w:sz w:val="28"/>
      <w:szCs w:val="28"/>
    </w:rPr>
  </w:style>
  <w:style w:type="paragraph" w:styleId="Heading2">
    <w:name w:val="heading 2"/>
    <w:basedOn w:val="Normal"/>
    <w:uiPriority w:val="1"/>
    <w:qFormat/>
    <w:rsid w:val="00AE6D8C"/>
    <w:pPr>
      <w:spacing w:before="90"/>
      <w:ind w:left="11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6D8C"/>
    <w:rPr>
      <w:sz w:val="24"/>
      <w:szCs w:val="24"/>
    </w:rPr>
  </w:style>
  <w:style w:type="paragraph" w:styleId="ListParagraph">
    <w:name w:val="List Paragraph"/>
    <w:basedOn w:val="Normal"/>
    <w:uiPriority w:val="1"/>
    <w:qFormat/>
    <w:rsid w:val="00AE6D8C"/>
    <w:pPr>
      <w:ind w:left="836" w:right="114" w:hanging="360"/>
      <w:jc w:val="both"/>
    </w:pPr>
  </w:style>
  <w:style w:type="paragraph" w:customStyle="1" w:styleId="TableParagraph">
    <w:name w:val="Table Paragraph"/>
    <w:basedOn w:val="Normal"/>
    <w:uiPriority w:val="1"/>
    <w:qFormat/>
    <w:rsid w:val="00AE6D8C"/>
  </w:style>
  <w:style w:type="paragraph" w:styleId="Index1">
    <w:name w:val="index 1"/>
    <w:basedOn w:val="Normal"/>
    <w:next w:val="Normal"/>
    <w:autoRedefine/>
    <w:uiPriority w:val="99"/>
    <w:semiHidden/>
    <w:unhideWhenUsed/>
    <w:rsid w:val="00F91B68"/>
    <w:pPr>
      <w:ind w:left="220" w:hanging="220"/>
    </w:pPr>
  </w:style>
  <w:style w:type="paragraph" w:styleId="Index2">
    <w:name w:val="index 2"/>
    <w:basedOn w:val="Normal"/>
    <w:next w:val="Normal"/>
    <w:autoRedefine/>
    <w:uiPriority w:val="99"/>
    <w:semiHidden/>
    <w:unhideWhenUsed/>
    <w:rsid w:val="00F91B68"/>
    <w:pPr>
      <w:ind w:left="440" w:hanging="220"/>
    </w:pPr>
  </w:style>
  <w:style w:type="paragraph" w:styleId="Index3">
    <w:name w:val="index 3"/>
    <w:basedOn w:val="Normal"/>
    <w:next w:val="Normal"/>
    <w:autoRedefine/>
    <w:uiPriority w:val="99"/>
    <w:semiHidden/>
    <w:unhideWhenUsed/>
    <w:rsid w:val="004E618B"/>
    <w:pPr>
      <w:ind w:left="660" w:hanging="220"/>
    </w:pPr>
  </w:style>
  <w:style w:type="paragraph" w:styleId="Header">
    <w:name w:val="header"/>
    <w:basedOn w:val="Normal"/>
    <w:link w:val="HeaderChar"/>
    <w:uiPriority w:val="99"/>
    <w:semiHidden/>
    <w:unhideWhenUsed/>
    <w:rsid w:val="00AD6C42"/>
    <w:pPr>
      <w:tabs>
        <w:tab w:val="center" w:pos="4513"/>
        <w:tab w:val="right" w:pos="9026"/>
      </w:tabs>
    </w:pPr>
  </w:style>
  <w:style w:type="character" w:customStyle="1" w:styleId="HeaderChar">
    <w:name w:val="Header Char"/>
    <w:basedOn w:val="DefaultParagraphFont"/>
    <w:link w:val="Header"/>
    <w:uiPriority w:val="99"/>
    <w:semiHidden/>
    <w:rsid w:val="00AD6C42"/>
    <w:rPr>
      <w:rFonts w:ascii="Times New Roman" w:eastAsia="Times New Roman" w:hAnsi="Times New Roman" w:cs="Times New Roman"/>
    </w:rPr>
  </w:style>
  <w:style w:type="paragraph" w:styleId="Footer">
    <w:name w:val="footer"/>
    <w:basedOn w:val="Normal"/>
    <w:link w:val="FooterChar"/>
    <w:uiPriority w:val="99"/>
    <w:semiHidden/>
    <w:unhideWhenUsed/>
    <w:rsid w:val="00AD6C42"/>
    <w:pPr>
      <w:tabs>
        <w:tab w:val="center" w:pos="4513"/>
        <w:tab w:val="right" w:pos="9026"/>
      </w:tabs>
    </w:pPr>
  </w:style>
  <w:style w:type="character" w:customStyle="1" w:styleId="FooterChar">
    <w:name w:val="Footer Char"/>
    <w:basedOn w:val="DefaultParagraphFont"/>
    <w:link w:val="Footer"/>
    <w:uiPriority w:val="99"/>
    <w:semiHidden/>
    <w:rsid w:val="00AD6C42"/>
    <w:rPr>
      <w:rFonts w:ascii="Times New Roman" w:eastAsia="Times New Roman" w:hAnsi="Times New Roman" w:cs="Times New Roman"/>
    </w:rPr>
  </w:style>
  <w:style w:type="paragraph" w:styleId="IndexHeading">
    <w:name w:val="index heading"/>
    <w:basedOn w:val="Normal"/>
    <w:next w:val="Index1"/>
    <w:uiPriority w:val="99"/>
    <w:semiHidden/>
    <w:unhideWhenUsed/>
    <w:rsid w:val="00FA2B28"/>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itizens-rights-administrative-procedures-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BD22415-2ACB-4DFF-96E5-73BDC301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8364</Words>
  <Characters>47679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Isabelle (MOVE+ENER-SRD)</dc:creator>
  <cp:lastModifiedBy>Owner</cp:lastModifiedBy>
  <cp:revision>36</cp:revision>
  <dcterms:created xsi:type="dcterms:W3CDTF">2017-12-09T21:42:00Z</dcterms:created>
  <dcterms:modified xsi:type="dcterms:W3CDTF">2018-02-02T15:46:00Z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2010</vt:lpwstr>
  </property>
  <property fmtid="{D5CDD505-2E9C-101B-9397-08002B2CF9AE}" pid="4" name="LastSaved">
    <vt:filetime>2017-12-09T00:00:00Z</vt:filetime>
  </property>
</Properties>
</file>